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575B" w14:textId="669D6FC3" w:rsidR="00676B67" w:rsidRPr="00E40369" w:rsidRDefault="00676B67" w:rsidP="00B731DE">
      <w:pPr>
        <w:spacing w:after="240" w:line="240" w:lineRule="auto"/>
        <w:rPr>
          <w:rFonts w:ascii="Arial" w:hAnsi="Arial" w:cs="Arial"/>
        </w:rPr>
      </w:pPr>
      <w:r w:rsidRPr="00E40369">
        <w:rPr>
          <w:rFonts w:ascii="Arial" w:eastAsia="Arial" w:hAnsi="Arial" w:cs="Arial"/>
          <w:b/>
          <w:spacing w:val="-1"/>
        </w:rPr>
        <w:t>P</w:t>
      </w:r>
      <w:r w:rsidRPr="00E40369">
        <w:rPr>
          <w:rFonts w:ascii="Arial" w:eastAsia="Arial" w:hAnsi="Arial" w:cs="Arial"/>
          <w:b/>
        </w:rPr>
        <w:t>u</w:t>
      </w:r>
      <w:r w:rsidRPr="00E40369">
        <w:rPr>
          <w:rFonts w:ascii="Arial" w:eastAsia="Arial" w:hAnsi="Arial" w:cs="Arial"/>
          <w:b/>
          <w:spacing w:val="1"/>
        </w:rPr>
        <w:t>r</w:t>
      </w:r>
      <w:r w:rsidRPr="00E40369">
        <w:rPr>
          <w:rFonts w:ascii="Arial" w:eastAsia="Arial" w:hAnsi="Arial" w:cs="Arial"/>
          <w:b/>
        </w:rPr>
        <w:t xml:space="preserve">pose: </w:t>
      </w:r>
      <w:r w:rsidRPr="00E40369">
        <w:rPr>
          <w:rFonts w:ascii="Arial" w:eastAsia="Arial" w:hAnsi="Arial" w:cs="Arial"/>
          <w:spacing w:val="2"/>
        </w:rPr>
        <w:t>T</w:t>
      </w:r>
      <w:r w:rsidRPr="00E40369">
        <w:rPr>
          <w:rFonts w:ascii="Arial" w:eastAsia="Arial" w:hAnsi="Arial" w:cs="Arial"/>
        </w:rPr>
        <w:t>he</w:t>
      </w:r>
      <w:r w:rsidRPr="00E40369">
        <w:rPr>
          <w:rFonts w:ascii="Arial" w:eastAsia="Arial" w:hAnsi="Arial" w:cs="Arial"/>
          <w:spacing w:val="-1"/>
        </w:rPr>
        <w:t xml:space="preserve"> </w:t>
      </w:r>
      <w:r w:rsidRPr="00E40369">
        <w:rPr>
          <w:rFonts w:ascii="Arial" w:eastAsia="Arial" w:hAnsi="Arial" w:cs="Arial"/>
        </w:rPr>
        <w:t>pu</w:t>
      </w:r>
      <w:r w:rsidRPr="00E40369">
        <w:rPr>
          <w:rFonts w:ascii="Arial" w:eastAsia="Arial" w:hAnsi="Arial" w:cs="Arial"/>
          <w:spacing w:val="1"/>
        </w:rPr>
        <w:t>r</w:t>
      </w:r>
      <w:r w:rsidRPr="00E40369">
        <w:rPr>
          <w:rFonts w:ascii="Arial" w:eastAsia="Arial" w:hAnsi="Arial" w:cs="Arial"/>
        </w:rPr>
        <w:t>pose</w:t>
      </w:r>
      <w:r w:rsidRPr="00E40369">
        <w:rPr>
          <w:rFonts w:ascii="Arial" w:eastAsia="Arial" w:hAnsi="Arial" w:cs="Arial"/>
          <w:spacing w:val="-1"/>
        </w:rPr>
        <w:t xml:space="preserve"> </w:t>
      </w:r>
      <w:r w:rsidRPr="00E40369">
        <w:rPr>
          <w:rFonts w:ascii="Arial" w:eastAsia="Arial" w:hAnsi="Arial" w:cs="Arial"/>
          <w:spacing w:val="-3"/>
        </w:rPr>
        <w:t>o</w:t>
      </w:r>
      <w:r w:rsidRPr="00E40369">
        <w:rPr>
          <w:rFonts w:ascii="Arial" w:eastAsia="Arial" w:hAnsi="Arial" w:cs="Arial"/>
        </w:rPr>
        <w:t xml:space="preserve">f </w:t>
      </w:r>
      <w:r w:rsidRPr="00E40369">
        <w:rPr>
          <w:rFonts w:ascii="Arial" w:eastAsia="Arial" w:hAnsi="Arial" w:cs="Arial"/>
          <w:spacing w:val="1"/>
        </w:rPr>
        <w:t>t</w:t>
      </w:r>
      <w:r w:rsidRPr="00E40369">
        <w:rPr>
          <w:rFonts w:ascii="Arial" w:eastAsia="Arial" w:hAnsi="Arial" w:cs="Arial"/>
        </w:rPr>
        <w:t>h</w:t>
      </w:r>
      <w:r w:rsidRPr="00E40369">
        <w:rPr>
          <w:rFonts w:ascii="Arial" w:eastAsia="Arial" w:hAnsi="Arial" w:cs="Arial"/>
          <w:spacing w:val="-1"/>
        </w:rPr>
        <w:t>i</w:t>
      </w:r>
      <w:r w:rsidRPr="00E40369">
        <w:rPr>
          <w:rFonts w:ascii="Arial" w:eastAsia="Arial" w:hAnsi="Arial" w:cs="Arial"/>
        </w:rPr>
        <w:t>s</w:t>
      </w:r>
      <w:r w:rsidRPr="00E40369">
        <w:rPr>
          <w:rFonts w:ascii="Arial" w:eastAsia="Arial" w:hAnsi="Arial" w:cs="Arial"/>
          <w:spacing w:val="2"/>
        </w:rPr>
        <w:t xml:space="preserve"> </w:t>
      </w:r>
      <w:r w:rsidRPr="00E40369">
        <w:rPr>
          <w:rFonts w:ascii="Arial" w:eastAsia="Arial" w:hAnsi="Arial" w:cs="Arial"/>
          <w:spacing w:val="1"/>
        </w:rPr>
        <w:t>t</w:t>
      </w:r>
      <w:r w:rsidRPr="00E40369">
        <w:rPr>
          <w:rFonts w:ascii="Arial" w:eastAsia="Arial" w:hAnsi="Arial" w:cs="Arial"/>
        </w:rPr>
        <w:t>ool</w:t>
      </w:r>
      <w:r w:rsidRPr="00E40369">
        <w:rPr>
          <w:rFonts w:ascii="Arial" w:eastAsia="Arial" w:hAnsi="Arial" w:cs="Arial"/>
          <w:spacing w:val="-2"/>
        </w:rPr>
        <w:t xml:space="preserve"> </w:t>
      </w:r>
      <w:r w:rsidRPr="00E40369">
        <w:rPr>
          <w:rFonts w:ascii="Arial" w:eastAsia="Arial" w:hAnsi="Arial" w:cs="Arial"/>
          <w:spacing w:val="-1"/>
        </w:rPr>
        <w:t>i</w:t>
      </w:r>
      <w:r w:rsidRPr="00E40369">
        <w:rPr>
          <w:rFonts w:ascii="Arial" w:eastAsia="Arial" w:hAnsi="Arial" w:cs="Arial"/>
        </w:rPr>
        <w:t>s</w:t>
      </w:r>
      <w:r w:rsidRPr="00E40369">
        <w:rPr>
          <w:rFonts w:ascii="Arial" w:eastAsia="Arial" w:hAnsi="Arial" w:cs="Arial"/>
          <w:spacing w:val="-1"/>
        </w:rPr>
        <w:t xml:space="preserve"> </w:t>
      </w:r>
      <w:r w:rsidRPr="00E40369">
        <w:rPr>
          <w:rFonts w:ascii="Arial" w:eastAsia="Arial" w:hAnsi="Arial" w:cs="Arial"/>
          <w:spacing w:val="1"/>
        </w:rPr>
        <w:t>t</w:t>
      </w:r>
      <w:r w:rsidRPr="00E40369">
        <w:rPr>
          <w:rFonts w:ascii="Arial" w:eastAsia="Arial" w:hAnsi="Arial" w:cs="Arial"/>
        </w:rPr>
        <w:t>o</w:t>
      </w:r>
      <w:r w:rsidRPr="00E40369">
        <w:rPr>
          <w:rFonts w:ascii="Arial" w:eastAsia="Arial" w:hAnsi="Arial" w:cs="Arial"/>
          <w:spacing w:val="1"/>
        </w:rPr>
        <w:t xml:space="preserve"> </w:t>
      </w:r>
      <w:r w:rsidRPr="00E40369">
        <w:rPr>
          <w:rFonts w:ascii="Arial" w:eastAsia="Arial" w:hAnsi="Arial" w:cs="Arial"/>
        </w:rPr>
        <w:t>sh</w:t>
      </w:r>
      <w:r w:rsidRPr="00E40369">
        <w:rPr>
          <w:rFonts w:ascii="Arial" w:eastAsia="Arial" w:hAnsi="Arial" w:cs="Arial"/>
          <w:spacing w:val="-3"/>
        </w:rPr>
        <w:t>a</w:t>
      </w:r>
      <w:r w:rsidRPr="00E40369">
        <w:rPr>
          <w:rFonts w:ascii="Arial" w:eastAsia="Arial" w:hAnsi="Arial" w:cs="Arial"/>
          <w:spacing w:val="1"/>
        </w:rPr>
        <w:t>r</w:t>
      </w:r>
      <w:r w:rsidRPr="00E40369">
        <w:rPr>
          <w:rFonts w:ascii="Arial" w:eastAsia="Arial" w:hAnsi="Arial" w:cs="Arial"/>
        </w:rPr>
        <w:t>e</w:t>
      </w:r>
      <w:r w:rsidRPr="00E40369">
        <w:rPr>
          <w:rFonts w:ascii="Arial" w:eastAsia="Arial" w:hAnsi="Arial" w:cs="Arial"/>
          <w:spacing w:val="1"/>
        </w:rPr>
        <w:t xml:space="preserve"> </w:t>
      </w:r>
      <w:r w:rsidRPr="00E40369">
        <w:rPr>
          <w:rFonts w:ascii="Arial" w:eastAsia="Arial" w:hAnsi="Arial" w:cs="Arial"/>
          <w:spacing w:val="-2"/>
        </w:rPr>
        <w:t>s</w:t>
      </w:r>
      <w:r w:rsidRPr="00E40369">
        <w:rPr>
          <w:rFonts w:ascii="Arial" w:eastAsia="Arial" w:hAnsi="Arial" w:cs="Arial"/>
          <w:spacing w:val="1"/>
        </w:rPr>
        <w:t>tr</w:t>
      </w:r>
      <w:r w:rsidRPr="00E40369">
        <w:rPr>
          <w:rFonts w:ascii="Arial" w:eastAsia="Arial" w:hAnsi="Arial" w:cs="Arial"/>
          <w:spacing w:val="-3"/>
        </w:rPr>
        <w:t>a</w:t>
      </w:r>
      <w:r w:rsidRPr="00E40369">
        <w:rPr>
          <w:rFonts w:ascii="Arial" w:eastAsia="Arial" w:hAnsi="Arial" w:cs="Arial"/>
          <w:spacing w:val="-1"/>
        </w:rPr>
        <w:t>t</w:t>
      </w:r>
      <w:r w:rsidRPr="00E40369">
        <w:rPr>
          <w:rFonts w:ascii="Arial" w:eastAsia="Arial" w:hAnsi="Arial" w:cs="Arial"/>
        </w:rPr>
        <w:t>e</w:t>
      </w:r>
      <w:r w:rsidRPr="00E40369">
        <w:rPr>
          <w:rFonts w:ascii="Arial" w:eastAsia="Arial" w:hAnsi="Arial" w:cs="Arial"/>
          <w:spacing w:val="2"/>
        </w:rPr>
        <w:t>g</w:t>
      </w:r>
      <w:r w:rsidRPr="00E40369">
        <w:rPr>
          <w:rFonts w:ascii="Arial" w:eastAsia="Arial" w:hAnsi="Arial" w:cs="Arial"/>
          <w:spacing w:val="-1"/>
        </w:rPr>
        <w:t>i</w:t>
      </w:r>
      <w:r w:rsidRPr="00E40369">
        <w:rPr>
          <w:rFonts w:ascii="Arial" w:eastAsia="Arial" w:hAnsi="Arial" w:cs="Arial"/>
        </w:rPr>
        <w:t>es</w:t>
      </w:r>
      <w:r w:rsidRPr="00E40369">
        <w:rPr>
          <w:rFonts w:ascii="Arial" w:eastAsia="Arial" w:hAnsi="Arial" w:cs="Arial"/>
          <w:spacing w:val="-1"/>
        </w:rPr>
        <w:t xml:space="preserve"> </w:t>
      </w:r>
      <w:r w:rsidRPr="00E40369">
        <w:rPr>
          <w:rFonts w:ascii="Arial" w:eastAsia="Arial" w:hAnsi="Arial" w:cs="Arial"/>
          <w:spacing w:val="1"/>
        </w:rPr>
        <w:t>t</w:t>
      </w:r>
      <w:r w:rsidRPr="00E40369">
        <w:rPr>
          <w:rFonts w:ascii="Arial" w:eastAsia="Arial" w:hAnsi="Arial" w:cs="Arial"/>
        </w:rPr>
        <w:t>o</w:t>
      </w:r>
      <w:r w:rsidR="007C26E4">
        <w:rPr>
          <w:rFonts w:ascii="Arial" w:eastAsia="Arial" w:hAnsi="Arial" w:cs="Arial"/>
          <w:spacing w:val="1"/>
        </w:rPr>
        <w:t xml:space="preserve"> </w:t>
      </w:r>
      <w:r w:rsidRPr="00E40369">
        <w:rPr>
          <w:rFonts w:ascii="Arial" w:eastAsia="Arial" w:hAnsi="Arial" w:cs="Arial"/>
          <w:spacing w:val="-1"/>
        </w:rPr>
        <w:t xml:space="preserve">optimize </w:t>
      </w:r>
      <w:r w:rsidR="00D819D2">
        <w:rPr>
          <w:rFonts w:ascii="Arial" w:eastAsia="Arial" w:hAnsi="Arial" w:cs="Arial"/>
          <w:spacing w:val="-1"/>
        </w:rPr>
        <w:t xml:space="preserve">WAC account </w:t>
      </w:r>
      <w:r w:rsidR="007C26E4">
        <w:rPr>
          <w:rFonts w:ascii="Arial" w:eastAsia="Arial" w:hAnsi="Arial" w:cs="Arial"/>
          <w:spacing w:val="-1"/>
        </w:rPr>
        <w:t xml:space="preserve">purchasing </w:t>
      </w:r>
      <w:r w:rsidRPr="00E40369">
        <w:rPr>
          <w:rFonts w:ascii="Arial" w:eastAsia="Arial" w:hAnsi="Arial" w:cs="Arial"/>
          <w:spacing w:val="-1"/>
        </w:rPr>
        <w:t>i</w:t>
      </w:r>
      <w:r w:rsidRPr="00E40369">
        <w:rPr>
          <w:rFonts w:ascii="Arial" w:eastAsia="Arial" w:hAnsi="Arial" w:cs="Arial"/>
        </w:rPr>
        <w:t>n</w:t>
      </w:r>
      <w:r w:rsidRPr="00E40369">
        <w:rPr>
          <w:rFonts w:ascii="Arial" w:eastAsia="Arial" w:hAnsi="Arial" w:cs="Arial"/>
          <w:spacing w:val="1"/>
        </w:rPr>
        <w:t xml:space="preserve"> </w:t>
      </w:r>
      <w:r w:rsidRPr="00E40369">
        <w:rPr>
          <w:rFonts w:ascii="Arial" w:eastAsia="Arial" w:hAnsi="Arial" w:cs="Arial"/>
        </w:rPr>
        <w:t>340B hosp</w:t>
      </w:r>
      <w:r w:rsidRPr="00E40369">
        <w:rPr>
          <w:rFonts w:ascii="Arial" w:eastAsia="Arial" w:hAnsi="Arial" w:cs="Arial"/>
          <w:spacing w:val="-1"/>
        </w:rPr>
        <w:t>i</w:t>
      </w:r>
      <w:r w:rsidRPr="00E40369">
        <w:rPr>
          <w:rFonts w:ascii="Arial" w:eastAsia="Arial" w:hAnsi="Arial" w:cs="Arial"/>
          <w:spacing w:val="1"/>
        </w:rPr>
        <w:t>t</w:t>
      </w:r>
      <w:r w:rsidRPr="00E40369">
        <w:rPr>
          <w:rFonts w:ascii="Arial" w:eastAsia="Arial" w:hAnsi="Arial" w:cs="Arial"/>
        </w:rPr>
        <w:t>a</w:t>
      </w:r>
      <w:r w:rsidRPr="00E40369">
        <w:rPr>
          <w:rFonts w:ascii="Arial" w:eastAsia="Arial" w:hAnsi="Arial" w:cs="Arial"/>
          <w:spacing w:val="-1"/>
        </w:rPr>
        <w:t>l</w:t>
      </w:r>
      <w:r w:rsidRPr="00E40369">
        <w:rPr>
          <w:rFonts w:ascii="Arial" w:eastAsia="Arial" w:hAnsi="Arial" w:cs="Arial"/>
        </w:rPr>
        <w:t>s</w:t>
      </w:r>
      <w:r w:rsidRPr="00E40369">
        <w:rPr>
          <w:rFonts w:ascii="Arial" w:eastAsia="Arial" w:hAnsi="Arial" w:cs="Arial"/>
          <w:spacing w:val="2"/>
        </w:rPr>
        <w:t xml:space="preserve"> </w:t>
      </w:r>
      <w:r w:rsidRPr="00E40369">
        <w:rPr>
          <w:rFonts w:ascii="Arial" w:eastAsia="Arial" w:hAnsi="Arial" w:cs="Arial"/>
        </w:rPr>
        <w:t>su</w:t>
      </w:r>
      <w:r w:rsidRPr="00E40369">
        <w:rPr>
          <w:rFonts w:ascii="Arial" w:eastAsia="Arial" w:hAnsi="Arial" w:cs="Arial"/>
          <w:spacing w:val="-3"/>
        </w:rPr>
        <w:t>b</w:t>
      </w:r>
      <w:r w:rsidRPr="00E40369">
        <w:rPr>
          <w:rFonts w:ascii="Arial" w:eastAsia="Arial" w:hAnsi="Arial" w:cs="Arial"/>
          <w:spacing w:val="1"/>
        </w:rPr>
        <w:t>j</w:t>
      </w:r>
      <w:r w:rsidRPr="00E40369">
        <w:rPr>
          <w:rFonts w:ascii="Arial" w:eastAsia="Arial" w:hAnsi="Arial" w:cs="Arial"/>
        </w:rPr>
        <w:t xml:space="preserve">ect </w:t>
      </w:r>
      <w:r w:rsidRPr="00E40369">
        <w:rPr>
          <w:rFonts w:ascii="Arial" w:eastAsia="Arial" w:hAnsi="Arial" w:cs="Arial"/>
          <w:spacing w:val="1"/>
        </w:rPr>
        <w:t>t</w:t>
      </w:r>
      <w:r w:rsidRPr="00E40369">
        <w:rPr>
          <w:rFonts w:ascii="Arial" w:eastAsia="Arial" w:hAnsi="Arial" w:cs="Arial"/>
        </w:rPr>
        <w:t>o</w:t>
      </w:r>
      <w:r w:rsidRPr="00E40369">
        <w:rPr>
          <w:rFonts w:ascii="Arial" w:eastAsia="Arial" w:hAnsi="Arial" w:cs="Arial"/>
          <w:spacing w:val="-1"/>
        </w:rPr>
        <w:t xml:space="preserve"> </w:t>
      </w:r>
      <w:r w:rsidRPr="00E40369">
        <w:rPr>
          <w:rFonts w:ascii="Arial" w:eastAsia="Arial" w:hAnsi="Arial" w:cs="Arial"/>
          <w:spacing w:val="1"/>
        </w:rPr>
        <w:t>t</w:t>
      </w:r>
      <w:r w:rsidRPr="00E40369">
        <w:rPr>
          <w:rFonts w:ascii="Arial" w:eastAsia="Arial" w:hAnsi="Arial" w:cs="Arial"/>
        </w:rPr>
        <w:t>he</w:t>
      </w:r>
      <w:r w:rsidRPr="00E40369">
        <w:rPr>
          <w:rFonts w:ascii="Arial" w:eastAsia="Arial" w:hAnsi="Arial" w:cs="Arial"/>
          <w:spacing w:val="-3"/>
        </w:rPr>
        <w:t xml:space="preserve"> </w:t>
      </w:r>
      <w:r w:rsidRPr="00E40369">
        <w:rPr>
          <w:rFonts w:ascii="Arial" w:eastAsia="Arial" w:hAnsi="Arial" w:cs="Arial"/>
          <w:spacing w:val="1"/>
        </w:rPr>
        <w:t>G</w:t>
      </w:r>
      <w:r w:rsidRPr="00E40369">
        <w:rPr>
          <w:rFonts w:ascii="Arial" w:eastAsia="Arial" w:hAnsi="Arial" w:cs="Arial"/>
          <w:spacing w:val="-1"/>
        </w:rPr>
        <w:t>P</w:t>
      </w:r>
      <w:r w:rsidRPr="00E40369">
        <w:rPr>
          <w:rFonts w:ascii="Arial" w:eastAsia="Arial" w:hAnsi="Arial" w:cs="Arial"/>
        </w:rPr>
        <w:t xml:space="preserve">O </w:t>
      </w:r>
      <w:r w:rsidRPr="00E40369">
        <w:rPr>
          <w:rFonts w:ascii="Arial" w:eastAsia="Arial" w:hAnsi="Arial" w:cs="Arial"/>
          <w:spacing w:val="-1"/>
        </w:rPr>
        <w:t>P</w:t>
      </w:r>
      <w:r w:rsidRPr="00E40369">
        <w:rPr>
          <w:rFonts w:ascii="Arial" w:eastAsia="Arial" w:hAnsi="Arial" w:cs="Arial"/>
          <w:spacing w:val="1"/>
        </w:rPr>
        <w:t>r</w:t>
      </w:r>
      <w:r w:rsidRPr="00E40369">
        <w:rPr>
          <w:rFonts w:ascii="Arial" w:eastAsia="Arial" w:hAnsi="Arial" w:cs="Arial"/>
        </w:rPr>
        <w:t>oh</w:t>
      </w:r>
      <w:r w:rsidRPr="00E40369">
        <w:rPr>
          <w:rFonts w:ascii="Arial" w:eastAsia="Arial" w:hAnsi="Arial" w:cs="Arial"/>
          <w:spacing w:val="-1"/>
        </w:rPr>
        <w:t>i</w:t>
      </w:r>
      <w:r w:rsidRPr="00E40369">
        <w:rPr>
          <w:rFonts w:ascii="Arial" w:eastAsia="Arial" w:hAnsi="Arial" w:cs="Arial"/>
        </w:rPr>
        <w:t>b</w:t>
      </w:r>
      <w:r w:rsidRPr="00E40369">
        <w:rPr>
          <w:rFonts w:ascii="Arial" w:eastAsia="Arial" w:hAnsi="Arial" w:cs="Arial"/>
          <w:spacing w:val="-1"/>
        </w:rPr>
        <w:t>i</w:t>
      </w:r>
      <w:r w:rsidRPr="00E40369">
        <w:rPr>
          <w:rFonts w:ascii="Arial" w:eastAsia="Arial" w:hAnsi="Arial" w:cs="Arial"/>
          <w:spacing w:val="1"/>
        </w:rPr>
        <w:t>t</w:t>
      </w:r>
      <w:r w:rsidRPr="00E40369">
        <w:rPr>
          <w:rFonts w:ascii="Arial" w:eastAsia="Arial" w:hAnsi="Arial" w:cs="Arial"/>
          <w:spacing w:val="-1"/>
        </w:rPr>
        <w:t>i</w:t>
      </w:r>
      <w:r w:rsidRPr="00E40369">
        <w:rPr>
          <w:rFonts w:ascii="Arial" w:eastAsia="Arial" w:hAnsi="Arial" w:cs="Arial"/>
        </w:rPr>
        <w:t>on</w:t>
      </w:r>
      <w:r w:rsidRPr="00E40369">
        <w:rPr>
          <w:rFonts w:ascii="Arial" w:eastAsia="Arial" w:hAnsi="Arial" w:cs="Arial"/>
          <w:spacing w:val="-1"/>
        </w:rPr>
        <w:t xml:space="preserve"> </w:t>
      </w:r>
      <w:r w:rsidRPr="00E40369">
        <w:rPr>
          <w:rFonts w:ascii="Arial" w:eastAsia="Arial" w:hAnsi="Arial" w:cs="Arial"/>
          <w:spacing w:val="1"/>
        </w:rPr>
        <w:t>(</w:t>
      </w:r>
      <w:r w:rsidRPr="00E40369">
        <w:rPr>
          <w:rFonts w:ascii="Arial" w:eastAsia="Arial" w:hAnsi="Arial" w:cs="Arial"/>
          <w:spacing w:val="-1"/>
        </w:rPr>
        <w:t>DSH</w:t>
      </w:r>
      <w:r w:rsidR="00F23BD4">
        <w:rPr>
          <w:rFonts w:ascii="Arial" w:eastAsia="Arial" w:hAnsi="Arial" w:cs="Arial"/>
        </w:rPr>
        <w:t>/</w:t>
      </w:r>
      <w:r w:rsidRPr="00E40369">
        <w:rPr>
          <w:rFonts w:ascii="Arial" w:eastAsia="Arial" w:hAnsi="Arial" w:cs="Arial"/>
          <w:spacing w:val="-1"/>
        </w:rPr>
        <w:t>PED</w:t>
      </w:r>
      <w:r w:rsidR="00F23BD4">
        <w:rPr>
          <w:rFonts w:ascii="Arial" w:eastAsia="Arial" w:hAnsi="Arial" w:cs="Arial"/>
          <w:spacing w:val="-1"/>
        </w:rPr>
        <w:t>/</w:t>
      </w:r>
      <w:r w:rsidRPr="00E40369">
        <w:rPr>
          <w:rFonts w:ascii="Arial" w:eastAsia="Arial" w:hAnsi="Arial" w:cs="Arial"/>
          <w:spacing w:val="-1"/>
        </w:rPr>
        <w:t>CAN</w:t>
      </w:r>
      <w:r w:rsidRPr="00E40369">
        <w:rPr>
          <w:rFonts w:ascii="Arial" w:eastAsia="Arial" w:hAnsi="Arial" w:cs="Arial"/>
          <w:spacing w:val="1"/>
        </w:rPr>
        <w:t>)</w:t>
      </w:r>
      <w:r w:rsidRPr="00E40369">
        <w:rPr>
          <w:rFonts w:ascii="Arial" w:eastAsia="Arial" w:hAnsi="Arial" w:cs="Arial"/>
        </w:rPr>
        <w:t>.</w:t>
      </w:r>
      <w:r w:rsidRPr="00E40369">
        <w:rPr>
          <w:rFonts w:ascii="Arial" w:hAnsi="Arial" w:cs="Arial"/>
        </w:rPr>
        <w:t xml:space="preserve"> It is important to </w:t>
      </w:r>
      <w:r w:rsidR="00DD409B">
        <w:rPr>
          <w:rFonts w:ascii="Arial" w:hAnsi="Arial" w:cs="Arial"/>
        </w:rPr>
        <w:t>assess</w:t>
      </w:r>
      <w:r w:rsidR="00DD409B" w:rsidRPr="00E40369">
        <w:rPr>
          <w:rFonts w:ascii="Arial" w:hAnsi="Arial" w:cs="Arial"/>
        </w:rPr>
        <w:t xml:space="preserve"> </w:t>
      </w:r>
      <w:r w:rsidRPr="00E40369">
        <w:rPr>
          <w:rFonts w:ascii="Arial" w:hAnsi="Arial" w:cs="Arial"/>
        </w:rPr>
        <w:t>the drug purchases across all three accounts (340B, GPO, and WAC) to effectively reduce excess expenditure</w:t>
      </w:r>
      <w:r>
        <w:rPr>
          <w:rFonts w:ascii="Arial" w:hAnsi="Arial" w:cs="Arial"/>
        </w:rPr>
        <w:t>s</w:t>
      </w:r>
      <w:r w:rsidR="0095427D">
        <w:rPr>
          <w:rFonts w:ascii="Arial" w:hAnsi="Arial" w:cs="Arial"/>
        </w:rPr>
        <w:t xml:space="preserve"> while maintaining 340B Program compliance</w:t>
      </w:r>
      <w:r w:rsidRPr="00E40369">
        <w:rPr>
          <w:rFonts w:ascii="Arial" w:hAnsi="Arial" w:cs="Arial"/>
        </w:rPr>
        <w:t xml:space="preserve">. </w:t>
      </w:r>
      <w:r w:rsidR="00EA01A9">
        <w:rPr>
          <w:rFonts w:ascii="Arial" w:hAnsi="Arial" w:cs="Arial"/>
        </w:rPr>
        <w:t xml:space="preserve">These purchasing strategies are based on operational best practices </w:t>
      </w:r>
      <w:r w:rsidR="00052886">
        <w:rPr>
          <w:rFonts w:ascii="Arial" w:hAnsi="Arial" w:cs="Arial"/>
        </w:rPr>
        <w:t xml:space="preserve">that </w:t>
      </w:r>
      <w:r w:rsidR="00EA01A9">
        <w:rPr>
          <w:rFonts w:ascii="Arial" w:hAnsi="Arial" w:cs="Arial"/>
        </w:rPr>
        <w:t xml:space="preserve">covered entities across the country have implemented, and not based on HRSA policy. </w:t>
      </w:r>
    </w:p>
    <w:p w14:paraId="3EF0381E" w14:textId="400263C9" w:rsidR="00676B67" w:rsidRDefault="00676B67" w:rsidP="00B731DE">
      <w:pPr>
        <w:spacing w:after="240" w:line="240" w:lineRule="auto"/>
        <w:rPr>
          <w:rFonts w:ascii="Arial" w:hAnsi="Arial" w:cs="Arial"/>
        </w:rPr>
      </w:pPr>
      <w:r w:rsidRPr="00E40369">
        <w:rPr>
          <w:rFonts w:ascii="Arial" w:hAnsi="Arial" w:cs="Arial"/>
          <w:b/>
        </w:rPr>
        <w:t xml:space="preserve">Background: </w:t>
      </w:r>
      <w:r w:rsidR="00682156">
        <w:rPr>
          <w:rFonts w:ascii="Arial" w:hAnsi="Arial" w:cs="Arial"/>
        </w:rPr>
        <w:t>To</w:t>
      </w:r>
      <w:r w:rsidRPr="00E40369">
        <w:rPr>
          <w:rFonts w:ascii="Arial" w:hAnsi="Arial" w:cs="Arial"/>
        </w:rPr>
        <w:t xml:space="preserve"> effectively </w:t>
      </w:r>
      <w:r w:rsidR="00857B77" w:rsidRPr="00E40369">
        <w:rPr>
          <w:rFonts w:ascii="Arial" w:hAnsi="Arial" w:cs="Arial"/>
        </w:rPr>
        <w:t>u</w:t>
      </w:r>
      <w:r w:rsidR="00857B77">
        <w:rPr>
          <w:rFonts w:ascii="Arial" w:hAnsi="Arial" w:cs="Arial"/>
        </w:rPr>
        <w:t>s</w:t>
      </w:r>
      <w:r w:rsidR="00857B77" w:rsidRPr="00E40369">
        <w:rPr>
          <w:rFonts w:ascii="Arial" w:hAnsi="Arial" w:cs="Arial"/>
        </w:rPr>
        <w:t xml:space="preserve">e </w:t>
      </w:r>
      <w:r w:rsidRPr="00E40369">
        <w:rPr>
          <w:rFonts w:ascii="Arial" w:hAnsi="Arial" w:cs="Arial"/>
        </w:rPr>
        <w:t>this tool</w:t>
      </w:r>
      <w:r w:rsidR="00682156">
        <w:rPr>
          <w:rFonts w:ascii="Arial" w:hAnsi="Arial" w:cs="Arial"/>
        </w:rPr>
        <w:t>, it is important to</w:t>
      </w:r>
      <w:r w:rsidRPr="00E40369">
        <w:rPr>
          <w:rFonts w:ascii="Arial" w:hAnsi="Arial" w:cs="Arial"/>
        </w:rPr>
        <w:t xml:space="preserve"> understan</w:t>
      </w:r>
      <w:r>
        <w:rPr>
          <w:rFonts w:ascii="Arial" w:hAnsi="Arial" w:cs="Arial"/>
        </w:rPr>
        <w:t>d WAC and s</w:t>
      </w:r>
      <w:r w:rsidRPr="00E40369">
        <w:rPr>
          <w:rFonts w:ascii="Arial" w:hAnsi="Arial" w:cs="Arial"/>
        </w:rPr>
        <w:t>ub-WAC</w:t>
      </w:r>
      <w:r w:rsidR="001E0D53">
        <w:rPr>
          <w:rFonts w:ascii="Arial" w:hAnsi="Arial" w:cs="Arial"/>
        </w:rPr>
        <w:t xml:space="preserve"> pricing</w:t>
      </w:r>
      <w:r w:rsidRPr="00E40369">
        <w:rPr>
          <w:rFonts w:ascii="Arial" w:hAnsi="Arial" w:cs="Arial"/>
        </w:rPr>
        <w:t xml:space="preserve">. </w:t>
      </w:r>
      <w:r w:rsidR="007A5CB5">
        <w:rPr>
          <w:rFonts w:ascii="Arial" w:hAnsi="Arial" w:cs="Arial"/>
        </w:rPr>
        <w:t xml:space="preserve">Wholesaler </w:t>
      </w:r>
      <w:r w:rsidR="00857B77">
        <w:rPr>
          <w:rFonts w:ascii="Arial" w:hAnsi="Arial" w:cs="Arial"/>
        </w:rPr>
        <w:t>a</w:t>
      </w:r>
      <w:r w:rsidR="007A5CB5">
        <w:rPr>
          <w:rFonts w:ascii="Arial" w:hAnsi="Arial" w:cs="Arial"/>
        </w:rPr>
        <w:t xml:space="preserve">cquisition </w:t>
      </w:r>
      <w:r w:rsidR="00857B77">
        <w:rPr>
          <w:rFonts w:ascii="Arial" w:hAnsi="Arial" w:cs="Arial"/>
        </w:rPr>
        <w:t>c</w:t>
      </w:r>
      <w:r w:rsidR="007A5CB5">
        <w:rPr>
          <w:rFonts w:ascii="Arial" w:hAnsi="Arial" w:cs="Arial"/>
        </w:rPr>
        <w:t xml:space="preserve">ost (WAC) pricing is </w:t>
      </w:r>
      <w:r w:rsidRPr="00E40369">
        <w:rPr>
          <w:rFonts w:ascii="Arial" w:hAnsi="Arial" w:cs="Arial"/>
        </w:rPr>
        <w:t>the price charged by pharmaceutical manufacturers to</w:t>
      </w:r>
      <w:r>
        <w:rPr>
          <w:rFonts w:ascii="Arial" w:hAnsi="Arial" w:cs="Arial"/>
          <w:sz w:val="21"/>
          <w:szCs w:val="21"/>
        </w:rPr>
        <w:t xml:space="preserve"> </w:t>
      </w:r>
      <w:r w:rsidRPr="00E40369">
        <w:rPr>
          <w:rFonts w:ascii="Arial" w:hAnsi="Arial" w:cs="Arial"/>
        </w:rPr>
        <w:t>whol</w:t>
      </w:r>
      <w:r w:rsidR="008270A4">
        <w:rPr>
          <w:rFonts w:ascii="Arial" w:hAnsi="Arial" w:cs="Arial"/>
        </w:rPr>
        <w:t xml:space="preserve">esale drug distributors. </w:t>
      </w:r>
      <w:r w:rsidRPr="00E40369">
        <w:rPr>
          <w:rFonts w:ascii="Arial" w:hAnsi="Arial" w:cs="Arial"/>
        </w:rPr>
        <w:t xml:space="preserve">Prime Vendor Program (PVP) </w:t>
      </w:r>
      <w:r>
        <w:rPr>
          <w:rFonts w:ascii="Arial" w:hAnsi="Arial" w:cs="Arial"/>
        </w:rPr>
        <w:t>s</w:t>
      </w:r>
      <w:r w:rsidRPr="00E40369">
        <w:rPr>
          <w:rFonts w:ascii="Arial" w:hAnsi="Arial" w:cs="Arial"/>
        </w:rPr>
        <w:t xml:space="preserve">ub-WAC </w:t>
      </w:r>
      <w:r w:rsidR="001E0D53">
        <w:rPr>
          <w:rFonts w:ascii="Arial" w:hAnsi="Arial" w:cs="Arial"/>
        </w:rPr>
        <w:t xml:space="preserve">pricing </w:t>
      </w:r>
      <w:r w:rsidRPr="00E40369">
        <w:rPr>
          <w:rFonts w:ascii="Arial" w:hAnsi="Arial" w:cs="Arial"/>
        </w:rPr>
        <w:t xml:space="preserve">is a contracted price </w:t>
      </w:r>
      <w:r w:rsidR="00FB6239">
        <w:rPr>
          <w:rFonts w:ascii="Arial" w:hAnsi="Arial" w:cs="Arial"/>
        </w:rPr>
        <w:t xml:space="preserve">loaded onto the WAC account </w:t>
      </w:r>
      <w:r w:rsidRPr="00E40369">
        <w:rPr>
          <w:rFonts w:ascii="Arial" w:hAnsi="Arial" w:cs="Arial"/>
        </w:rPr>
        <w:t xml:space="preserve">that allows </w:t>
      </w:r>
      <w:r w:rsidR="00052886">
        <w:rPr>
          <w:rFonts w:ascii="Arial" w:hAnsi="Arial" w:cs="Arial"/>
        </w:rPr>
        <w:t xml:space="preserve">PVP member </w:t>
      </w:r>
      <w:r w:rsidRPr="00E40369">
        <w:rPr>
          <w:rFonts w:ascii="Arial" w:hAnsi="Arial" w:cs="Arial"/>
        </w:rPr>
        <w:t xml:space="preserve">entities </w:t>
      </w:r>
      <w:r w:rsidR="001B5D1D">
        <w:rPr>
          <w:rFonts w:ascii="Arial" w:hAnsi="Arial" w:cs="Arial"/>
        </w:rPr>
        <w:t xml:space="preserve">subject to the GPO Prohibition </w:t>
      </w:r>
      <w:r w:rsidRPr="00E40369">
        <w:rPr>
          <w:rFonts w:ascii="Arial" w:hAnsi="Arial" w:cs="Arial"/>
        </w:rPr>
        <w:t xml:space="preserve">to </w:t>
      </w:r>
      <w:r w:rsidR="00FB0CFA">
        <w:rPr>
          <w:rFonts w:ascii="Arial" w:hAnsi="Arial" w:cs="Arial"/>
        </w:rPr>
        <w:t xml:space="preserve">purchase </w:t>
      </w:r>
      <w:r w:rsidRPr="00E40369">
        <w:rPr>
          <w:rFonts w:ascii="Arial" w:hAnsi="Arial" w:cs="Arial"/>
        </w:rPr>
        <w:t xml:space="preserve">covered outpatient drugs </w:t>
      </w:r>
      <w:r>
        <w:rPr>
          <w:rFonts w:ascii="Arial" w:hAnsi="Arial" w:cs="Arial"/>
        </w:rPr>
        <w:t xml:space="preserve">at a negotiated price </w:t>
      </w:r>
      <w:r w:rsidR="00F018EA">
        <w:rPr>
          <w:rFonts w:ascii="Arial" w:hAnsi="Arial" w:cs="Arial"/>
        </w:rPr>
        <w:t xml:space="preserve">that is lower than </w:t>
      </w:r>
      <w:r w:rsidR="00FB0CFA">
        <w:rPr>
          <w:rFonts w:ascii="Arial" w:hAnsi="Arial" w:cs="Arial"/>
        </w:rPr>
        <w:t xml:space="preserve">the </w:t>
      </w:r>
      <w:r w:rsidRPr="00E40369">
        <w:rPr>
          <w:rFonts w:ascii="Arial" w:hAnsi="Arial" w:cs="Arial"/>
        </w:rPr>
        <w:t>WAC pric</w:t>
      </w:r>
      <w:r w:rsidR="00FB0CFA">
        <w:rPr>
          <w:rFonts w:ascii="Arial" w:hAnsi="Arial" w:cs="Arial"/>
        </w:rPr>
        <w:t>e</w:t>
      </w:r>
      <w:r w:rsidR="009754C1">
        <w:rPr>
          <w:rFonts w:ascii="Arial" w:hAnsi="Arial" w:cs="Arial"/>
        </w:rPr>
        <w:t xml:space="preserve">. </w:t>
      </w:r>
      <w:r w:rsidR="00D25DD1">
        <w:rPr>
          <w:rFonts w:ascii="Arial" w:hAnsi="Arial" w:cs="Arial"/>
        </w:rPr>
        <w:t>For more information on compliant account contract load options, please see the “</w:t>
      </w:r>
      <w:hyperlink r:id="rId11" w:history="1">
        <w:r w:rsidR="00231A4E">
          <w:rPr>
            <w:rStyle w:val="Hyperlink"/>
            <w:rFonts w:ascii="Arial" w:hAnsi="Arial" w:cs="Arial"/>
          </w:rPr>
          <w:t>Non-GPO/WAC</w:t>
        </w:r>
      </w:hyperlink>
      <w:r w:rsidR="00231A4E">
        <w:rPr>
          <w:rStyle w:val="Hyperlink"/>
          <w:rFonts w:ascii="Arial" w:hAnsi="Arial" w:cs="Arial"/>
        </w:rPr>
        <w:t xml:space="preserve"> and 340B Contract Load Options</w:t>
      </w:r>
      <w:r w:rsidR="00D25DD1">
        <w:rPr>
          <w:rFonts w:ascii="Arial" w:hAnsi="Arial" w:cs="Arial"/>
        </w:rPr>
        <w:t>” PVP tool.</w:t>
      </w:r>
    </w:p>
    <w:p w14:paraId="20A5ACB2" w14:textId="12A2E1E3" w:rsidR="000B2745" w:rsidRDefault="000B2745" w:rsidP="00B731DE">
      <w:pPr>
        <w:spacing w:after="240" w:line="240" w:lineRule="auto"/>
        <w:rPr>
          <w:rFonts w:ascii="Arial" w:hAnsi="Arial" w:cs="Arial"/>
        </w:rPr>
      </w:pPr>
      <w:r w:rsidRPr="09930CAC">
        <w:rPr>
          <w:rFonts w:ascii="Arial" w:hAnsi="Arial" w:cs="Arial"/>
          <w:b/>
          <w:bCs/>
        </w:rPr>
        <w:t>Instructions</w:t>
      </w:r>
      <w:r w:rsidR="00C85B1A" w:rsidRPr="09930CAC">
        <w:rPr>
          <w:rFonts w:ascii="Arial" w:hAnsi="Arial" w:cs="Arial"/>
          <w:b/>
          <w:bCs/>
        </w:rPr>
        <w:t xml:space="preserve">: </w:t>
      </w:r>
      <w:r w:rsidRPr="09930CAC">
        <w:rPr>
          <w:rFonts w:ascii="Arial" w:hAnsi="Arial" w:cs="Arial"/>
        </w:rPr>
        <w:t>Follow the steps below to ensure</w:t>
      </w:r>
      <w:r w:rsidR="00857B77" w:rsidRPr="09930CAC">
        <w:rPr>
          <w:rFonts w:ascii="Arial" w:hAnsi="Arial" w:cs="Arial"/>
        </w:rPr>
        <w:t xml:space="preserve"> that</w:t>
      </w:r>
      <w:r w:rsidRPr="09930CAC">
        <w:rPr>
          <w:rFonts w:ascii="Arial" w:hAnsi="Arial" w:cs="Arial"/>
        </w:rPr>
        <w:t xml:space="preserve"> </w:t>
      </w:r>
      <w:r w:rsidR="00873761" w:rsidRPr="09930CAC">
        <w:rPr>
          <w:rFonts w:ascii="Arial" w:hAnsi="Arial" w:cs="Arial"/>
        </w:rPr>
        <w:t>you</w:t>
      </w:r>
      <w:r w:rsidR="00D765ED" w:rsidRPr="09930CAC">
        <w:rPr>
          <w:rFonts w:ascii="Arial" w:hAnsi="Arial" w:cs="Arial"/>
        </w:rPr>
        <w:t xml:space="preserve"> are optimizing</w:t>
      </w:r>
      <w:r w:rsidR="00873761" w:rsidRPr="09930CAC">
        <w:rPr>
          <w:rFonts w:ascii="Arial" w:hAnsi="Arial" w:cs="Arial"/>
        </w:rPr>
        <w:t xml:space="preserve"> </w:t>
      </w:r>
      <w:r w:rsidR="00857B77" w:rsidRPr="09930CAC">
        <w:rPr>
          <w:rFonts w:ascii="Arial" w:hAnsi="Arial" w:cs="Arial"/>
        </w:rPr>
        <w:t xml:space="preserve">your </w:t>
      </w:r>
      <w:r w:rsidR="00873761" w:rsidRPr="09930CAC">
        <w:rPr>
          <w:rFonts w:ascii="Arial" w:hAnsi="Arial" w:cs="Arial"/>
        </w:rPr>
        <w:t xml:space="preserve">entity’s purchases </w:t>
      </w:r>
      <w:r w:rsidRPr="09930CAC">
        <w:rPr>
          <w:rFonts w:ascii="Arial" w:hAnsi="Arial" w:cs="Arial"/>
        </w:rPr>
        <w:t>across all three accounts</w:t>
      </w:r>
      <w:r w:rsidR="009754C1" w:rsidRPr="09930CAC">
        <w:rPr>
          <w:rFonts w:ascii="Arial" w:hAnsi="Arial" w:cs="Arial"/>
        </w:rPr>
        <w:t xml:space="preserve">. </w:t>
      </w:r>
    </w:p>
    <w:p w14:paraId="0EDEDB52" w14:textId="0DC07CA9" w:rsidR="00E1454E" w:rsidRPr="001D6A6F" w:rsidRDefault="000B2745" w:rsidP="00B731DE">
      <w:pPr>
        <w:spacing w:after="240" w:line="240" w:lineRule="auto"/>
        <w:rPr>
          <w:rFonts w:ascii="Arial" w:hAnsi="Arial" w:cs="Arial"/>
        </w:rPr>
      </w:pPr>
      <w:r w:rsidRPr="002B3A5C">
        <w:rPr>
          <w:rFonts w:ascii="Arial" w:hAnsi="Arial" w:cs="Arial"/>
          <w:b/>
          <w:bCs/>
        </w:rPr>
        <w:t>Step 1</w:t>
      </w:r>
      <w:r w:rsidR="00C85B1A" w:rsidRPr="002B3A5C">
        <w:rPr>
          <w:rFonts w:ascii="Arial" w:hAnsi="Arial" w:cs="Arial"/>
          <w:b/>
          <w:bCs/>
        </w:rPr>
        <w:t>:</w:t>
      </w:r>
      <w:r w:rsidR="00C85B1A" w:rsidRPr="001D6A6F">
        <w:rPr>
          <w:rFonts w:ascii="Arial" w:hAnsi="Arial" w:cs="Arial"/>
        </w:rPr>
        <w:t xml:space="preserve"> </w:t>
      </w:r>
      <w:r w:rsidR="00E1454E" w:rsidRPr="001D6A6F">
        <w:rPr>
          <w:rFonts w:ascii="Arial" w:hAnsi="Arial" w:cs="Arial"/>
        </w:rPr>
        <w:t xml:space="preserve">Calculate </w:t>
      </w:r>
      <w:r w:rsidR="00231A4E" w:rsidRPr="001D6A6F">
        <w:rPr>
          <w:rFonts w:ascii="Arial" w:hAnsi="Arial" w:cs="Arial"/>
        </w:rPr>
        <w:t xml:space="preserve">Weighted </w:t>
      </w:r>
      <w:r w:rsidR="00E1454E" w:rsidRPr="001D6A6F">
        <w:rPr>
          <w:rFonts w:ascii="Arial" w:hAnsi="Arial" w:cs="Arial"/>
        </w:rPr>
        <w:t>Pricing</w:t>
      </w:r>
    </w:p>
    <w:p w14:paraId="17DF922C" w14:textId="2EB3ACF6" w:rsidR="00BA7233" w:rsidRDefault="00AF7375" w:rsidP="00B731DE">
      <w:pPr>
        <w:spacing w:after="240" w:line="240" w:lineRule="auto"/>
        <w:rPr>
          <w:rFonts w:ascii="Arial" w:hAnsi="Arial" w:cs="Arial"/>
        </w:rPr>
      </w:pPr>
      <w:r w:rsidRPr="002B3A5C">
        <w:rPr>
          <w:rFonts w:ascii="Arial" w:hAnsi="Arial" w:cs="Arial"/>
        </w:rPr>
        <w:t xml:space="preserve">Weighted pricing is a method to calculate the weighted average price for an NDC, which factors in the price and utilization of that product across all three accounts (340B, GPO, and WAC). This approach may be used to assist with making purchasing decisions. Calculate the weighted price for each NDC within a therapeutic drug class or generically equivalent group to identify the product with the lowest overall price based on utilization. </w:t>
      </w:r>
      <w:r w:rsidR="00C1264E" w:rsidRPr="00C1264E">
        <w:rPr>
          <w:rFonts w:ascii="Arial" w:hAnsi="Arial" w:cs="Arial"/>
        </w:rPr>
        <w:t xml:space="preserve">To account for </w:t>
      </w:r>
      <w:r w:rsidR="002D7D65">
        <w:rPr>
          <w:rFonts w:ascii="Arial" w:hAnsi="Arial" w:cs="Arial"/>
        </w:rPr>
        <w:t>Public Health Service (</w:t>
      </w:r>
      <w:r w:rsidR="00C1264E" w:rsidRPr="00C1264E">
        <w:rPr>
          <w:rFonts w:ascii="Arial" w:hAnsi="Arial" w:cs="Arial"/>
        </w:rPr>
        <w:t>PHS</w:t>
      </w:r>
      <w:r w:rsidR="00AA7047">
        <w:rPr>
          <w:rFonts w:ascii="Arial" w:hAnsi="Arial" w:cs="Arial"/>
        </w:rPr>
        <w:t>)</w:t>
      </w:r>
      <w:r w:rsidR="00C1264E" w:rsidRPr="00C1264E">
        <w:rPr>
          <w:rFonts w:ascii="Arial" w:hAnsi="Arial" w:cs="Arial"/>
        </w:rPr>
        <w:t xml:space="preserve">, PVP, WAC, and other contract pricing changes, perform </w:t>
      </w:r>
      <w:r w:rsidR="00C1264E">
        <w:rPr>
          <w:rFonts w:ascii="Arial" w:hAnsi="Arial" w:cs="Arial"/>
        </w:rPr>
        <w:t>a weighted pricing</w:t>
      </w:r>
      <w:r w:rsidR="00C1264E" w:rsidRPr="00C1264E">
        <w:rPr>
          <w:rFonts w:ascii="Arial" w:hAnsi="Arial" w:cs="Arial"/>
        </w:rPr>
        <w:t xml:space="preserve"> analysis monthly (best practice) or quarterly (at a minimum). </w:t>
      </w:r>
    </w:p>
    <w:p w14:paraId="7CB792FD" w14:textId="77777777" w:rsidR="00CD5425" w:rsidRDefault="00CD5425" w:rsidP="00B731DE">
      <w:pPr>
        <w:spacing w:after="240" w:line="240" w:lineRule="auto"/>
        <w:rPr>
          <w:rFonts w:ascii="Arial" w:hAnsi="Arial" w:cs="Arial"/>
          <w:b/>
          <w:bCs/>
        </w:rPr>
      </w:pPr>
      <w:r w:rsidRPr="002B3A5C">
        <w:rPr>
          <w:rFonts w:ascii="Arial" w:hAnsi="Arial" w:cs="Arial"/>
          <w:b/>
          <w:bCs/>
        </w:rPr>
        <w:t>Example of weighted pricing calculation:</w:t>
      </w:r>
    </w:p>
    <w:p w14:paraId="1835304A" w14:textId="78A35177" w:rsidR="00CD5425" w:rsidRPr="002B3A5C" w:rsidRDefault="0047272A" w:rsidP="00C85B1A">
      <w:pPr>
        <w:rPr>
          <w:rFonts w:ascii="Arial" w:hAnsi="Arial" w:cs="Arial"/>
          <w:b/>
          <w:bCs/>
        </w:rPr>
      </w:pPr>
      <w:r>
        <w:rPr>
          <w:noProof/>
          <w:color w:val="2B579A"/>
          <w:shd w:val="clear" w:color="auto" w:fill="E6E6E6"/>
        </w:rPr>
        <w:drawing>
          <wp:inline distT="0" distB="0" distL="0" distR="0" wp14:anchorId="2C793A0B" wp14:editId="258EEBE5">
            <wp:extent cx="685800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949"/>
                    <a:stretch/>
                  </pic:blipFill>
                  <pic:spPr bwMode="auto">
                    <a:xfrm>
                      <a:off x="0" y="0"/>
                      <a:ext cx="6858000" cy="3248025"/>
                    </a:xfrm>
                    <a:prstGeom prst="rect">
                      <a:avLst/>
                    </a:prstGeom>
                    <a:ln>
                      <a:noFill/>
                    </a:ln>
                    <a:extLst>
                      <a:ext uri="{53640926-AAD7-44D8-BBD7-CCE9431645EC}">
                        <a14:shadowObscured xmlns:a14="http://schemas.microsoft.com/office/drawing/2010/main"/>
                      </a:ext>
                    </a:extLst>
                  </pic:spPr>
                </pic:pic>
              </a:graphicData>
            </a:graphic>
          </wp:inline>
        </w:drawing>
      </w:r>
      <w:r w:rsidR="00CD5425" w:rsidRPr="002B3A5C">
        <w:rPr>
          <w:rFonts w:ascii="Arial" w:hAnsi="Arial" w:cs="Arial"/>
          <w:b/>
          <w:bCs/>
        </w:rPr>
        <w:t xml:space="preserve"> </w:t>
      </w:r>
    </w:p>
    <w:tbl>
      <w:tblPr>
        <w:tblStyle w:val="TableGrid"/>
        <w:tblW w:w="10728" w:type="dxa"/>
        <w:jc w:val="center"/>
        <w:tblLook w:val="04A0" w:firstRow="1" w:lastRow="0" w:firstColumn="1" w:lastColumn="0" w:noHBand="0" w:noVBand="1"/>
      </w:tblPr>
      <w:tblGrid>
        <w:gridCol w:w="1530"/>
        <w:gridCol w:w="9198"/>
      </w:tblGrid>
      <w:tr w:rsidR="007711C9" w14:paraId="2A4F1CC1" w14:textId="77777777" w:rsidTr="00E51B78">
        <w:trPr>
          <w:trHeight w:val="251"/>
          <w:tblHeader/>
          <w:jc w:val="center"/>
        </w:trPr>
        <w:tc>
          <w:tcPr>
            <w:tcW w:w="10728" w:type="dxa"/>
            <w:gridSpan w:val="2"/>
            <w:tcBorders>
              <w:bottom w:val="single" w:sz="4" w:space="0" w:color="5B9BD5" w:themeColor="accent1"/>
            </w:tcBorders>
            <w:shd w:val="clear" w:color="auto" w:fill="002060"/>
          </w:tcPr>
          <w:p w14:paraId="2A7D771B" w14:textId="53E43C77" w:rsidR="007711C9" w:rsidRPr="00C85B1A" w:rsidRDefault="007711C9" w:rsidP="00C85B1A">
            <w:pPr>
              <w:jc w:val="center"/>
              <w:rPr>
                <w:rFonts w:ascii="Arial" w:hAnsi="Arial" w:cs="Arial"/>
                <w:b/>
                <w:color w:val="FFFFFF" w:themeColor="background1"/>
              </w:rPr>
            </w:pPr>
            <w:r>
              <w:rPr>
                <w:rFonts w:ascii="Arial" w:hAnsi="Arial" w:cs="Arial"/>
                <w:b/>
                <w:color w:val="FFFFFF" w:themeColor="background1"/>
              </w:rPr>
              <w:lastRenderedPageBreak/>
              <w:t>Step 1</w:t>
            </w:r>
            <w:r w:rsidR="00C85B1A">
              <w:rPr>
                <w:rFonts w:ascii="Arial" w:hAnsi="Arial" w:cs="Arial"/>
                <w:b/>
                <w:color w:val="FFFFFF" w:themeColor="background1"/>
              </w:rPr>
              <w:t xml:space="preserve">: </w:t>
            </w:r>
            <w:r>
              <w:rPr>
                <w:rFonts w:ascii="Arial" w:hAnsi="Arial" w:cs="Arial"/>
                <w:b/>
                <w:color w:val="FFFFFF" w:themeColor="background1"/>
              </w:rPr>
              <w:t xml:space="preserve">Calculate </w:t>
            </w:r>
            <w:r w:rsidR="004D20FE">
              <w:rPr>
                <w:rFonts w:ascii="Arial" w:hAnsi="Arial" w:cs="Arial"/>
                <w:b/>
                <w:color w:val="FFFFFF" w:themeColor="background1"/>
              </w:rPr>
              <w:t xml:space="preserve">Weighted </w:t>
            </w:r>
            <w:r>
              <w:rPr>
                <w:rFonts w:ascii="Arial" w:hAnsi="Arial" w:cs="Arial"/>
                <w:b/>
                <w:color w:val="FFFFFF" w:themeColor="background1"/>
              </w:rPr>
              <w:t>Pricing</w:t>
            </w:r>
          </w:p>
        </w:tc>
      </w:tr>
      <w:tr w:rsidR="007711C9" w14:paraId="244E77FF" w14:textId="77777777" w:rsidTr="00B731DE">
        <w:trPr>
          <w:trHeight w:val="2960"/>
          <w:jc w:val="center"/>
        </w:trPr>
        <w:tc>
          <w:tcPr>
            <w:tcW w:w="15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C9C3AE6" w14:textId="75F078BE" w:rsidR="007711C9" w:rsidRPr="00E51B78" w:rsidRDefault="007711C9" w:rsidP="00B731DE">
            <w:pPr>
              <w:spacing w:before="60" w:after="60"/>
              <w:rPr>
                <w:rFonts w:ascii="Arial" w:hAnsi="Arial" w:cs="Arial"/>
                <w:sz w:val="20"/>
                <w:szCs w:val="20"/>
              </w:rPr>
            </w:pPr>
            <w:r w:rsidRPr="00E51B78">
              <w:rPr>
                <w:rFonts w:ascii="Arial" w:hAnsi="Arial" w:cs="Arial"/>
                <w:sz w:val="20"/>
                <w:szCs w:val="20"/>
              </w:rPr>
              <w:t xml:space="preserve">1a: Obtain </w:t>
            </w:r>
            <w:r w:rsidR="00BB73B1" w:rsidRPr="00E51B78">
              <w:rPr>
                <w:rFonts w:ascii="Arial" w:hAnsi="Arial" w:cs="Arial"/>
                <w:sz w:val="20"/>
                <w:szCs w:val="20"/>
              </w:rPr>
              <w:t>w</w:t>
            </w:r>
            <w:r w:rsidR="00A90E5F" w:rsidRPr="00E51B78">
              <w:rPr>
                <w:rFonts w:ascii="Arial" w:hAnsi="Arial" w:cs="Arial"/>
                <w:sz w:val="20"/>
                <w:szCs w:val="20"/>
              </w:rPr>
              <w:t xml:space="preserve">holesaler </w:t>
            </w:r>
            <w:r w:rsidR="00BB73B1" w:rsidRPr="00E51B78">
              <w:rPr>
                <w:rFonts w:ascii="Arial" w:hAnsi="Arial" w:cs="Arial"/>
                <w:sz w:val="20"/>
                <w:szCs w:val="20"/>
              </w:rPr>
              <w:t>d</w:t>
            </w:r>
            <w:r w:rsidR="00F717E8" w:rsidRPr="00E51B78">
              <w:rPr>
                <w:rFonts w:ascii="Arial" w:hAnsi="Arial" w:cs="Arial"/>
                <w:sz w:val="20"/>
                <w:szCs w:val="20"/>
              </w:rPr>
              <w:t xml:space="preserve">rug </w:t>
            </w:r>
            <w:r w:rsidR="00BB73B1" w:rsidRPr="00E51B78">
              <w:rPr>
                <w:rFonts w:ascii="Arial" w:hAnsi="Arial" w:cs="Arial"/>
                <w:sz w:val="20"/>
                <w:szCs w:val="20"/>
              </w:rPr>
              <w:t>c</w:t>
            </w:r>
            <w:r w:rsidR="00F717E8" w:rsidRPr="00E51B78">
              <w:rPr>
                <w:rFonts w:ascii="Arial" w:hAnsi="Arial" w:cs="Arial"/>
                <w:sz w:val="20"/>
                <w:szCs w:val="20"/>
              </w:rPr>
              <w:t xml:space="preserve">atalog </w:t>
            </w:r>
          </w:p>
          <w:p w14:paraId="008C444D" w14:textId="77777777" w:rsidR="007711C9" w:rsidRPr="00E51B78" w:rsidRDefault="007711C9" w:rsidP="00B731DE">
            <w:pPr>
              <w:spacing w:before="60" w:after="60"/>
              <w:rPr>
                <w:rFonts w:ascii="Arial" w:hAnsi="Arial" w:cs="Arial"/>
                <w:sz w:val="20"/>
                <w:szCs w:val="20"/>
              </w:rPr>
            </w:pPr>
            <w:r w:rsidRPr="00E51B78">
              <w:rPr>
                <w:rFonts w:ascii="Arial" w:hAnsi="Arial" w:cs="Arial"/>
                <w:sz w:val="20"/>
                <w:szCs w:val="20"/>
              </w:rPr>
              <w:t xml:space="preserve"> </w:t>
            </w:r>
          </w:p>
        </w:tc>
        <w:tc>
          <w:tcPr>
            <w:tcW w:w="91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1D5802E" w14:textId="26DE0D86" w:rsidR="00BA6E4A" w:rsidRPr="00E51B78" w:rsidRDefault="00BA6E4A" w:rsidP="00B731DE">
            <w:pPr>
              <w:pStyle w:val="ListParagraph"/>
              <w:numPr>
                <w:ilvl w:val="0"/>
                <w:numId w:val="11"/>
              </w:numPr>
              <w:spacing w:before="60" w:after="60"/>
              <w:contextualSpacing w:val="0"/>
              <w:rPr>
                <w:rFonts w:ascii="Arial" w:hAnsi="Arial" w:cs="Arial"/>
                <w:sz w:val="20"/>
                <w:szCs w:val="20"/>
              </w:rPr>
            </w:pPr>
            <w:r w:rsidRPr="00E51B78">
              <w:rPr>
                <w:rFonts w:ascii="Arial" w:hAnsi="Arial" w:cs="Arial"/>
                <w:sz w:val="20"/>
                <w:szCs w:val="20"/>
              </w:rPr>
              <w:t>Obtain your entity’s wholesaler drug catalog from your wholesaler or split-billing software. Ensure that this drug catalog includes price points for each account type (340B, GPO, and WAC) for each NDC.</w:t>
            </w:r>
            <w:r w:rsidR="00782F04" w:rsidRPr="00E51B78">
              <w:rPr>
                <w:rFonts w:ascii="Arial" w:hAnsi="Arial" w:cs="Arial"/>
                <w:sz w:val="20"/>
                <w:szCs w:val="20"/>
              </w:rPr>
              <w:t xml:space="preserve"> Ideally, your entity’s wholesaler drug catalog will include the following data points: </w:t>
            </w:r>
          </w:p>
          <w:p w14:paraId="7ADBEA5B" w14:textId="44933A58" w:rsidR="00782F04" w:rsidRPr="00E51B78" w:rsidRDefault="00782F04" w:rsidP="00B731DE">
            <w:pPr>
              <w:pStyle w:val="ListParagraph"/>
              <w:numPr>
                <w:ilvl w:val="1"/>
                <w:numId w:val="11"/>
              </w:numPr>
              <w:spacing w:before="60" w:after="60"/>
              <w:contextualSpacing w:val="0"/>
              <w:rPr>
                <w:rFonts w:ascii="Arial" w:hAnsi="Arial" w:cs="Arial"/>
                <w:sz w:val="20"/>
                <w:szCs w:val="20"/>
              </w:rPr>
            </w:pPr>
            <w:r w:rsidRPr="00E51B78">
              <w:rPr>
                <w:rFonts w:ascii="Arial" w:hAnsi="Arial" w:cs="Arial"/>
                <w:sz w:val="20"/>
                <w:szCs w:val="20"/>
              </w:rPr>
              <w:t>NDC</w:t>
            </w:r>
          </w:p>
          <w:p w14:paraId="49153C64" w14:textId="013594EA" w:rsidR="00782F04" w:rsidRPr="00E51B78" w:rsidRDefault="00782F04" w:rsidP="00B731DE">
            <w:pPr>
              <w:pStyle w:val="ListParagraph"/>
              <w:numPr>
                <w:ilvl w:val="1"/>
                <w:numId w:val="11"/>
              </w:numPr>
              <w:shd w:val="clear" w:color="auto" w:fill="FFFFFF" w:themeFill="background1"/>
              <w:spacing w:before="60" w:after="60"/>
              <w:contextualSpacing w:val="0"/>
              <w:rPr>
                <w:rFonts w:ascii="Arial" w:hAnsi="Arial" w:cs="Arial"/>
                <w:sz w:val="20"/>
                <w:szCs w:val="20"/>
              </w:rPr>
            </w:pPr>
            <w:r w:rsidRPr="00E51B78">
              <w:rPr>
                <w:rFonts w:ascii="Arial" w:hAnsi="Arial" w:cs="Arial"/>
                <w:sz w:val="20"/>
                <w:szCs w:val="20"/>
              </w:rPr>
              <w:t>340B Account Price</w:t>
            </w:r>
          </w:p>
          <w:p w14:paraId="7E37A21E" w14:textId="30D0F994" w:rsidR="00782F04" w:rsidRPr="00E51B78" w:rsidRDefault="00782F04" w:rsidP="00B731DE">
            <w:pPr>
              <w:pStyle w:val="ListParagraph"/>
              <w:numPr>
                <w:ilvl w:val="1"/>
                <w:numId w:val="11"/>
              </w:numPr>
              <w:spacing w:before="60" w:after="60"/>
              <w:contextualSpacing w:val="0"/>
              <w:rPr>
                <w:rFonts w:ascii="Arial" w:hAnsi="Arial" w:cs="Arial"/>
                <w:sz w:val="20"/>
                <w:szCs w:val="20"/>
              </w:rPr>
            </w:pPr>
            <w:r w:rsidRPr="00E51B78">
              <w:rPr>
                <w:rFonts w:ascii="Arial" w:hAnsi="Arial" w:cs="Arial"/>
                <w:sz w:val="20"/>
                <w:szCs w:val="20"/>
              </w:rPr>
              <w:t>GPO Account Price</w:t>
            </w:r>
          </w:p>
          <w:p w14:paraId="098B9D9E" w14:textId="4C71F7F0" w:rsidR="00782F04" w:rsidRPr="00E51B78" w:rsidRDefault="00782F04" w:rsidP="00B731DE">
            <w:pPr>
              <w:pStyle w:val="ListParagraph"/>
              <w:numPr>
                <w:ilvl w:val="1"/>
                <w:numId w:val="11"/>
              </w:numPr>
              <w:spacing w:before="60" w:after="60"/>
              <w:contextualSpacing w:val="0"/>
              <w:rPr>
                <w:rFonts w:ascii="Arial" w:hAnsi="Arial" w:cs="Arial"/>
                <w:sz w:val="20"/>
                <w:szCs w:val="20"/>
              </w:rPr>
            </w:pPr>
            <w:r w:rsidRPr="00E51B78">
              <w:rPr>
                <w:rFonts w:ascii="Arial" w:hAnsi="Arial" w:cs="Arial"/>
                <w:sz w:val="20"/>
                <w:szCs w:val="20"/>
              </w:rPr>
              <w:t>WAC Account Price</w:t>
            </w:r>
          </w:p>
          <w:p w14:paraId="54859914" w14:textId="11ABB40D" w:rsidR="007711C9" w:rsidRPr="00E51B78" w:rsidRDefault="00E1454E" w:rsidP="00B731DE">
            <w:pPr>
              <w:pStyle w:val="ListParagraph"/>
              <w:numPr>
                <w:ilvl w:val="0"/>
                <w:numId w:val="11"/>
              </w:numPr>
              <w:spacing w:before="60" w:after="60"/>
              <w:contextualSpacing w:val="0"/>
              <w:rPr>
                <w:rFonts w:ascii="Arial" w:hAnsi="Arial" w:cs="Arial"/>
                <w:sz w:val="20"/>
                <w:szCs w:val="20"/>
              </w:rPr>
            </w:pPr>
            <w:r w:rsidRPr="00E51B78">
              <w:rPr>
                <w:rFonts w:ascii="Arial" w:hAnsi="Arial" w:cs="Arial"/>
                <w:sz w:val="20"/>
                <w:szCs w:val="20"/>
              </w:rPr>
              <w:t>Include some kind of identifier to “link” like medications together (</w:t>
            </w:r>
            <w:r w:rsidR="003B5BD2" w:rsidRPr="00E51B78">
              <w:rPr>
                <w:rFonts w:ascii="Arial" w:hAnsi="Arial" w:cs="Arial"/>
                <w:sz w:val="20"/>
                <w:szCs w:val="20"/>
              </w:rPr>
              <w:t>e.g.</w:t>
            </w:r>
            <w:r w:rsidR="00106808" w:rsidRPr="00E51B78">
              <w:rPr>
                <w:rFonts w:ascii="Arial" w:hAnsi="Arial" w:cs="Arial"/>
                <w:sz w:val="20"/>
                <w:szCs w:val="20"/>
              </w:rPr>
              <w:t>,</w:t>
            </w:r>
            <w:r w:rsidRPr="00E51B78">
              <w:rPr>
                <w:rFonts w:ascii="Arial" w:hAnsi="Arial" w:cs="Arial"/>
                <w:sz w:val="20"/>
                <w:szCs w:val="20"/>
              </w:rPr>
              <w:t xml:space="preserve"> generic code</w:t>
            </w:r>
            <w:r w:rsidR="00D819D2" w:rsidRPr="00E51B78">
              <w:rPr>
                <w:rFonts w:ascii="Arial" w:hAnsi="Arial" w:cs="Arial"/>
                <w:sz w:val="20"/>
                <w:szCs w:val="20"/>
              </w:rPr>
              <w:t xml:space="preserve"> number</w:t>
            </w:r>
            <w:r w:rsidRPr="00E51B78">
              <w:rPr>
                <w:rFonts w:ascii="Arial" w:hAnsi="Arial" w:cs="Arial"/>
                <w:sz w:val="20"/>
                <w:szCs w:val="20"/>
              </w:rPr>
              <w:t xml:space="preserve"> </w:t>
            </w:r>
            <w:r w:rsidR="00106808" w:rsidRPr="00E51B78">
              <w:rPr>
                <w:rFonts w:ascii="Arial" w:hAnsi="Arial" w:cs="Arial"/>
                <w:sz w:val="20"/>
                <w:szCs w:val="20"/>
              </w:rPr>
              <w:t>[</w:t>
            </w:r>
            <w:r w:rsidR="008566EB" w:rsidRPr="00E51B78">
              <w:rPr>
                <w:rFonts w:ascii="Arial" w:hAnsi="Arial" w:cs="Arial"/>
                <w:sz w:val="20"/>
                <w:szCs w:val="20"/>
              </w:rPr>
              <w:t>GCN</w:t>
            </w:r>
            <w:r w:rsidR="00106808" w:rsidRPr="00E51B78">
              <w:rPr>
                <w:rFonts w:ascii="Arial" w:hAnsi="Arial" w:cs="Arial"/>
                <w:sz w:val="20"/>
                <w:szCs w:val="20"/>
              </w:rPr>
              <w:t>]</w:t>
            </w:r>
            <w:r w:rsidR="008566EB" w:rsidRPr="00E51B78">
              <w:rPr>
                <w:rFonts w:ascii="Arial" w:hAnsi="Arial" w:cs="Arial"/>
                <w:sz w:val="20"/>
                <w:szCs w:val="20"/>
              </w:rPr>
              <w:t xml:space="preserve"> </w:t>
            </w:r>
            <w:r w:rsidRPr="00E51B78">
              <w:rPr>
                <w:rFonts w:ascii="Arial" w:hAnsi="Arial" w:cs="Arial"/>
                <w:sz w:val="20"/>
                <w:szCs w:val="20"/>
              </w:rPr>
              <w:t>for generic interchanges</w:t>
            </w:r>
            <w:r w:rsidR="0086258A" w:rsidRPr="00E51B78">
              <w:rPr>
                <w:rFonts w:ascii="Arial" w:hAnsi="Arial" w:cs="Arial"/>
                <w:sz w:val="20"/>
                <w:szCs w:val="20"/>
              </w:rPr>
              <w:t xml:space="preserve"> or</w:t>
            </w:r>
            <w:r w:rsidRPr="00E51B78">
              <w:rPr>
                <w:rFonts w:ascii="Arial" w:hAnsi="Arial" w:cs="Arial"/>
                <w:sz w:val="20"/>
                <w:szCs w:val="20"/>
              </w:rPr>
              <w:t xml:space="preserve"> </w:t>
            </w:r>
            <w:r w:rsidR="002B3A5C" w:rsidRPr="00E51B78">
              <w:rPr>
                <w:rFonts w:ascii="Arial" w:hAnsi="Arial" w:cs="Arial"/>
                <w:sz w:val="20"/>
                <w:szCs w:val="20"/>
              </w:rPr>
              <w:t xml:space="preserve">American Hospital Formulary Service </w:t>
            </w:r>
            <w:r w:rsidR="00106808" w:rsidRPr="00E51B78">
              <w:rPr>
                <w:rFonts w:ascii="Arial" w:hAnsi="Arial" w:cs="Arial"/>
                <w:sz w:val="20"/>
                <w:szCs w:val="20"/>
              </w:rPr>
              <w:t>[</w:t>
            </w:r>
            <w:r w:rsidRPr="00E51B78">
              <w:rPr>
                <w:rFonts w:ascii="Arial" w:hAnsi="Arial" w:cs="Arial"/>
                <w:sz w:val="20"/>
                <w:szCs w:val="20"/>
              </w:rPr>
              <w:t>AHFS</w:t>
            </w:r>
            <w:r w:rsidR="00106808" w:rsidRPr="00E51B78">
              <w:rPr>
                <w:rFonts w:ascii="Arial" w:hAnsi="Arial" w:cs="Arial"/>
                <w:sz w:val="20"/>
                <w:szCs w:val="20"/>
              </w:rPr>
              <w:t>]</w:t>
            </w:r>
            <w:r w:rsidRPr="00E51B78">
              <w:rPr>
                <w:rFonts w:ascii="Arial" w:hAnsi="Arial" w:cs="Arial"/>
                <w:sz w:val="20"/>
                <w:szCs w:val="20"/>
              </w:rPr>
              <w:t xml:space="preserve"> code for therapeutic interchanges)</w:t>
            </w:r>
            <w:r w:rsidR="006501EB" w:rsidRPr="00E51B78">
              <w:rPr>
                <w:rFonts w:ascii="Arial" w:hAnsi="Arial" w:cs="Arial"/>
                <w:sz w:val="20"/>
                <w:szCs w:val="20"/>
              </w:rPr>
              <w:t xml:space="preserve">. This type of code is often readily available in </w:t>
            </w:r>
            <w:r w:rsidR="00106808" w:rsidRPr="00E51B78">
              <w:rPr>
                <w:rFonts w:ascii="Arial" w:hAnsi="Arial" w:cs="Arial"/>
                <w:sz w:val="20"/>
                <w:szCs w:val="20"/>
              </w:rPr>
              <w:t xml:space="preserve">the </w:t>
            </w:r>
            <w:r w:rsidR="006501EB" w:rsidRPr="00E51B78">
              <w:rPr>
                <w:rFonts w:ascii="Arial" w:hAnsi="Arial" w:cs="Arial"/>
                <w:sz w:val="20"/>
                <w:szCs w:val="20"/>
              </w:rPr>
              <w:t>wholesaler catalog information.</w:t>
            </w:r>
          </w:p>
        </w:tc>
      </w:tr>
      <w:tr w:rsidR="007711C9" w14:paraId="449D4EC5" w14:textId="77777777" w:rsidTr="00E51B78">
        <w:trPr>
          <w:jc w:val="center"/>
        </w:trPr>
        <w:tc>
          <w:tcPr>
            <w:tcW w:w="15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2688A4" w14:textId="03270209" w:rsidR="007711C9" w:rsidRPr="00E51B78" w:rsidRDefault="007711C9" w:rsidP="00E51B78">
            <w:pPr>
              <w:spacing w:before="60"/>
              <w:ind w:left="-29"/>
              <w:rPr>
                <w:rFonts w:ascii="Arial" w:hAnsi="Arial" w:cs="Arial"/>
                <w:sz w:val="20"/>
                <w:szCs w:val="20"/>
              </w:rPr>
            </w:pPr>
            <w:r w:rsidRPr="00E51B78">
              <w:rPr>
                <w:rFonts w:ascii="Arial" w:hAnsi="Arial" w:cs="Arial"/>
                <w:sz w:val="20"/>
                <w:szCs w:val="20"/>
              </w:rPr>
              <w:t xml:space="preserve">1b: Obtain </w:t>
            </w:r>
            <w:r w:rsidR="00552F02" w:rsidRPr="00E51B78">
              <w:rPr>
                <w:rFonts w:ascii="Arial" w:hAnsi="Arial" w:cs="Arial"/>
                <w:sz w:val="20"/>
                <w:szCs w:val="20"/>
              </w:rPr>
              <w:t>p</w:t>
            </w:r>
            <w:r w:rsidR="001B72E0" w:rsidRPr="00E51B78">
              <w:rPr>
                <w:rFonts w:ascii="Arial" w:hAnsi="Arial" w:cs="Arial"/>
                <w:sz w:val="20"/>
                <w:szCs w:val="20"/>
              </w:rPr>
              <w:t xml:space="preserve">urchase </w:t>
            </w:r>
            <w:r w:rsidR="00552F02" w:rsidRPr="00E51B78">
              <w:rPr>
                <w:rFonts w:ascii="Arial" w:hAnsi="Arial" w:cs="Arial"/>
                <w:sz w:val="20"/>
                <w:szCs w:val="20"/>
              </w:rPr>
              <w:t>h</w:t>
            </w:r>
            <w:r w:rsidR="001B72E0" w:rsidRPr="00E51B78">
              <w:rPr>
                <w:rFonts w:ascii="Arial" w:hAnsi="Arial" w:cs="Arial"/>
                <w:sz w:val="20"/>
                <w:szCs w:val="20"/>
              </w:rPr>
              <w:t>istory</w:t>
            </w:r>
          </w:p>
          <w:p w14:paraId="0954D4F9" w14:textId="77777777" w:rsidR="007711C9" w:rsidRPr="00E51B78" w:rsidRDefault="007711C9" w:rsidP="00E51B78">
            <w:pPr>
              <w:spacing w:before="60"/>
              <w:ind w:left="-29"/>
              <w:rPr>
                <w:rFonts w:ascii="Arial" w:hAnsi="Arial" w:cs="Arial"/>
                <w:sz w:val="20"/>
                <w:szCs w:val="20"/>
              </w:rPr>
            </w:pPr>
            <w:r w:rsidRPr="00E51B78">
              <w:rPr>
                <w:rFonts w:ascii="Arial" w:hAnsi="Arial" w:cs="Arial"/>
                <w:sz w:val="20"/>
                <w:szCs w:val="20"/>
              </w:rPr>
              <w:t xml:space="preserve"> </w:t>
            </w:r>
          </w:p>
        </w:tc>
        <w:tc>
          <w:tcPr>
            <w:tcW w:w="91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D72BD6C" w14:textId="77777777" w:rsidR="005627BB" w:rsidRPr="00E51B78" w:rsidRDefault="005627BB" w:rsidP="00E77B6B">
            <w:pPr>
              <w:pStyle w:val="ListParagraph"/>
              <w:numPr>
                <w:ilvl w:val="0"/>
                <w:numId w:val="12"/>
              </w:numPr>
              <w:spacing w:before="60" w:after="60"/>
              <w:rPr>
                <w:rFonts w:ascii="Arial" w:hAnsi="Arial" w:cs="Arial"/>
                <w:sz w:val="20"/>
                <w:szCs w:val="20"/>
              </w:rPr>
            </w:pPr>
            <w:r w:rsidRPr="00E51B78">
              <w:rPr>
                <w:rFonts w:ascii="Arial" w:hAnsi="Arial" w:cs="Arial"/>
                <w:sz w:val="20"/>
                <w:szCs w:val="20"/>
              </w:rPr>
              <w:t xml:space="preserve">Purchase history information is used to determine the percentage of purchases of each NDC on each account (340B, GPO, and WAC). </w:t>
            </w:r>
          </w:p>
          <w:p w14:paraId="75D9AB07" w14:textId="6D4448B2" w:rsidR="005627BB" w:rsidRPr="00E51B78" w:rsidRDefault="005627BB" w:rsidP="00E77B6B">
            <w:pPr>
              <w:pStyle w:val="ListParagraph"/>
              <w:numPr>
                <w:ilvl w:val="0"/>
                <w:numId w:val="12"/>
              </w:numPr>
              <w:spacing w:before="60" w:after="60"/>
              <w:rPr>
                <w:rFonts w:ascii="Arial" w:hAnsi="Arial" w:cs="Arial"/>
                <w:sz w:val="20"/>
                <w:szCs w:val="20"/>
              </w:rPr>
            </w:pPr>
            <w:r w:rsidRPr="00E51B78">
              <w:rPr>
                <w:rFonts w:ascii="Arial" w:hAnsi="Arial" w:cs="Arial"/>
                <w:sz w:val="20"/>
                <w:szCs w:val="20"/>
              </w:rPr>
              <w:t>Obtain your entity’s purchase history from your wholesaler, split-billing software, or inventory management system.</w:t>
            </w:r>
            <w:r w:rsidR="00782F04" w:rsidRPr="00E51B78">
              <w:rPr>
                <w:rFonts w:ascii="Arial" w:hAnsi="Arial" w:cs="Arial"/>
                <w:sz w:val="20"/>
                <w:szCs w:val="20"/>
              </w:rPr>
              <w:t xml:space="preserve"> </w:t>
            </w:r>
            <w:r w:rsidR="007F140D" w:rsidRPr="00E51B78">
              <w:rPr>
                <w:rFonts w:ascii="Arial" w:hAnsi="Arial" w:cs="Arial"/>
                <w:sz w:val="20"/>
                <w:szCs w:val="20"/>
              </w:rPr>
              <w:t xml:space="preserve">Run the most recent 3–6 months of purchase history data for the group of products you are analyzing to get an accurate picture of recent product utilization. </w:t>
            </w:r>
            <w:r w:rsidR="00782F04" w:rsidRPr="00E51B78">
              <w:rPr>
                <w:rFonts w:ascii="Arial" w:hAnsi="Arial" w:cs="Arial"/>
                <w:sz w:val="20"/>
                <w:szCs w:val="20"/>
              </w:rPr>
              <w:t xml:space="preserve">Ideally, your entity’s purchase history will include the following data points: </w:t>
            </w:r>
          </w:p>
          <w:p w14:paraId="3FE87ACD" w14:textId="31CE2FD3" w:rsidR="00782F04" w:rsidRPr="00E51B78" w:rsidRDefault="00782F04" w:rsidP="00E77B6B">
            <w:pPr>
              <w:pStyle w:val="ListParagraph"/>
              <w:numPr>
                <w:ilvl w:val="1"/>
                <w:numId w:val="12"/>
              </w:numPr>
              <w:spacing w:before="60" w:after="60"/>
              <w:rPr>
                <w:rFonts w:ascii="Arial" w:hAnsi="Arial" w:cs="Arial"/>
                <w:sz w:val="20"/>
                <w:szCs w:val="20"/>
              </w:rPr>
            </w:pPr>
            <w:r w:rsidRPr="00E51B78">
              <w:rPr>
                <w:rFonts w:ascii="Arial" w:hAnsi="Arial" w:cs="Arial"/>
                <w:sz w:val="20"/>
                <w:szCs w:val="20"/>
              </w:rPr>
              <w:t>Purchase dat</w:t>
            </w:r>
            <w:r w:rsidR="00467EE3" w:rsidRPr="00E51B78">
              <w:rPr>
                <w:rFonts w:ascii="Arial" w:hAnsi="Arial" w:cs="Arial"/>
                <w:sz w:val="20"/>
                <w:szCs w:val="20"/>
              </w:rPr>
              <w:t>e</w:t>
            </w:r>
          </w:p>
          <w:p w14:paraId="0F077509" w14:textId="5904EF72" w:rsidR="00782F04" w:rsidRPr="00E51B78" w:rsidRDefault="00782F04" w:rsidP="00E77B6B">
            <w:pPr>
              <w:pStyle w:val="ListParagraph"/>
              <w:numPr>
                <w:ilvl w:val="1"/>
                <w:numId w:val="12"/>
              </w:numPr>
              <w:spacing w:before="60" w:after="60"/>
              <w:rPr>
                <w:rFonts w:ascii="Arial" w:hAnsi="Arial" w:cs="Arial"/>
                <w:sz w:val="20"/>
                <w:szCs w:val="20"/>
              </w:rPr>
            </w:pPr>
            <w:r w:rsidRPr="00E51B78">
              <w:rPr>
                <w:rFonts w:ascii="Arial" w:hAnsi="Arial" w:cs="Arial"/>
                <w:sz w:val="20"/>
                <w:szCs w:val="20"/>
              </w:rPr>
              <w:t>Account (340B, GPO, or WAC)</w:t>
            </w:r>
          </w:p>
          <w:p w14:paraId="43F3648F" w14:textId="452BF98F" w:rsidR="00782F04" w:rsidRPr="00E51B78" w:rsidRDefault="00782F04" w:rsidP="00E77B6B">
            <w:pPr>
              <w:pStyle w:val="ListParagraph"/>
              <w:numPr>
                <w:ilvl w:val="1"/>
                <w:numId w:val="12"/>
              </w:numPr>
              <w:spacing w:before="60" w:after="60"/>
              <w:rPr>
                <w:rFonts w:ascii="Arial" w:hAnsi="Arial" w:cs="Arial"/>
                <w:sz w:val="20"/>
                <w:szCs w:val="20"/>
              </w:rPr>
            </w:pPr>
            <w:r w:rsidRPr="00E51B78">
              <w:rPr>
                <w:rFonts w:ascii="Arial" w:hAnsi="Arial" w:cs="Arial"/>
                <w:sz w:val="20"/>
                <w:szCs w:val="20"/>
              </w:rPr>
              <w:t>NDC</w:t>
            </w:r>
          </w:p>
          <w:p w14:paraId="1B16FC76" w14:textId="245CD1C2" w:rsidR="00782F04" w:rsidRPr="00E51B78" w:rsidRDefault="00782F04" w:rsidP="00E77B6B">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NDC </w:t>
            </w:r>
            <w:r w:rsidR="00FB3882" w:rsidRPr="00E51B78">
              <w:rPr>
                <w:rFonts w:ascii="Arial" w:hAnsi="Arial" w:cs="Arial"/>
                <w:sz w:val="20"/>
                <w:szCs w:val="20"/>
              </w:rPr>
              <w:t>d</w:t>
            </w:r>
            <w:r w:rsidRPr="00E51B78">
              <w:rPr>
                <w:rFonts w:ascii="Arial" w:hAnsi="Arial" w:cs="Arial"/>
                <w:sz w:val="20"/>
                <w:szCs w:val="20"/>
              </w:rPr>
              <w:t>escription</w:t>
            </w:r>
          </w:p>
          <w:p w14:paraId="6A464392" w14:textId="316F6DCB" w:rsidR="00782F04" w:rsidRPr="00E51B78" w:rsidRDefault="00782F04" w:rsidP="00E77B6B">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Purchase </w:t>
            </w:r>
            <w:r w:rsidR="00FB3882" w:rsidRPr="00E51B78">
              <w:rPr>
                <w:rFonts w:ascii="Arial" w:hAnsi="Arial" w:cs="Arial"/>
                <w:sz w:val="20"/>
                <w:szCs w:val="20"/>
              </w:rPr>
              <w:t>q</w:t>
            </w:r>
            <w:r w:rsidRPr="00E51B78">
              <w:rPr>
                <w:rFonts w:ascii="Arial" w:hAnsi="Arial" w:cs="Arial"/>
                <w:sz w:val="20"/>
                <w:szCs w:val="20"/>
              </w:rPr>
              <w:t>uantity</w:t>
            </w:r>
          </w:p>
          <w:p w14:paraId="49674085" w14:textId="76CD5D8B" w:rsidR="00583419" w:rsidRPr="00E51B78" w:rsidRDefault="00782F04" w:rsidP="00E77B6B">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Total </w:t>
            </w:r>
            <w:r w:rsidR="00FB3882" w:rsidRPr="00E51B78">
              <w:rPr>
                <w:rFonts w:ascii="Arial" w:hAnsi="Arial" w:cs="Arial"/>
                <w:sz w:val="20"/>
                <w:szCs w:val="20"/>
              </w:rPr>
              <w:t>e</w:t>
            </w:r>
            <w:r w:rsidRPr="00E51B78">
              <w:rPr>
                <w:rFonts w:ascii="Arial" w:hAnsi="Arial" w:cs="Arial"/>
                <w:sz w:val="20"/>
                <w:szCs w:val="20"/>
              </w:rPr>
              <w:t xml:space="preserve">xtended </w:t>
            </w:r>
            <w:r w:rsidR="00FB3882" w:rsidRPr="00E51B78">
              <w:rPr>
                <w:rFonts w:ascii="Arial" w:hAnsi="Arial" w:cs="Arial"/>
                <w:sz w:val="20"/>
                <w:szCs w:val="20"/>
              </w:rPr>
              <w:t>c</w:t>
            </w:r>
            <w:r w:rsidRPr="00E51B78">
              <w:rPr>
                <w:rFonts w:ascii="Arial" w:hAnsi="Arial" w:cs="Arial"/>
                <w:sz w:val="20"/>
                <w:szCs w:val="20"/>
              </w:rPr>
              <w:t>ost</w:t>
            </w:r>
          </w:p>
          <w:p w14:paraId="54F48BA0" w14:textId="077868E6" w:rsidR="00972E87" w:rsidRPr="00E51B78" w:rsidRDefault="00106B8C" w:rsidP="00E77B6B">
            <w:pPr>
              <w:pStyle w:val="ListParagraph"/>
              <w:numPr>
                <w:ilvl w:val="0"/>
                <w:numId w:val="12"/>
              </w:numPr>
              <w:spacing w:before="60" w:after="60"/>
              <w:rPr>
                <w:rFonts w:ascii="Arial" w:hAnsi="Arial" w:cs="Arial"/>
                <w:sz w:val="20"/>
                <w:szCs w:val="20"/>
              </w:rPr>
            </w:pPr>
            <w:r w:rsidRPr="00E51B78">
              <w:rPr>
                <w:rFonts w:ascii="Arial" w:hAnsi="Arial" w:cs="Arial"/>
                <w:sz w:val="20"/>
                <w:szCs w:val="20"/>
              </w:rPr>
              <w:t>Consider any anticipated short-term changes to purchases or utilization that may affect how a newly selected product would be used (e.g., bulk purchases for shortages, initial purchases for establishing neutral inventory).</w:t>
            </w:r>
          </w:p>
        </w:tc>
      </w:tr>
      <w:tr w:rsidR="007711C9" w14:paraId="3DCA2FAB" w14:textId="77777777" w:rsidTr="00E51B78">
        <w:trPr>
          <w:jc w:val="center"/>
        </w:trPr>
        <w:tc>
          <w:tcPr>
            <w:tcW w:w="15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7CE1ED" w14:textId="32D66D40" w:rsidR="007711C9" w:rsidRPr="00E51B78" w:rsidRDefault="007711C9" w:rsidP="00E77B6B">
            <w:pPr>
              <w:spacing w:before="60" w:after="60"/>
              <w:rPr>
                <w:rFonts w:ascii="Arial" w:hAnsi="Arial" w:cs="Arial"/>
                <w:sz w:val="20"/>
                <w:szCs w:val="20"/>
              </w:rPr>
            </w:pPr>
            <w:r w:rsidRPr="00E51B78">
              <w:rPr>
                <w:rFonts w:ascii="Arial" w:hAnsi="Arial" w:cs="Arial"/>
                <w:sz w:val="20"/>
                <w:szCs w:val="20"/>
              </w:rPr>
              <w:t xml:space="preserve">1c: </w:t>
            </w:r>
            <w:r w:rsidR="00B77445" w:rsidRPr="00E51B78">
              <w:rPr>
                <w:rFonts w:ascii="Arial" w:hAnsi="Arial" w:cs="Arial"/>
                <w:sz w:val="20"/>
                <w:szCs w:val="20"/>
              </w:rPr>
              <w:t xml:space="preserve">Calculated </w:t>
            </w:r>
            <w:r w:rsidR="00FB3882" w:rsidRPr="00E51B78">
              <w:rPr>
                <w:rFonts w:ascii="Arial" w:hAnsi="Arial" w:cs="Arial"/>
                <w:sz w:val="20"/>
                <w:szCs w:val="20"/>
              </w:rPr>
              <w:t>w</w:t>
            </w:r>
            <w:r w:rsidR="00B77445" w:rsidRPr="00E51B78">
              <w:rPr>
                <w:rFonts w:ascii="Arial" w:hAnsi="Arial" w:cs="Arial"/>
                <w:sz w:val="20"/>
                <w:szCs w:val="20"/>
              </w:rPr>
              <w:t xml:space="preserve">eighted </w:t>
            </w:r>
            <w:r w:rsidR="00FB3882" w:rsidRPr="00E51B78">
              <w:rPr>
                <w:rFonts w:ascii="Arial" w:hAnsi="Arial" w:cs="Arial"/>
                <w:sz w:val="20"/>
                <w:szCs w:val="20"/>
              </w:rPr>
              <w:t>p</w:t>
            </w:r>
            <w:r w:rsidR="00B77445" w:rsidRPr="00E51B78">
              <w:rPr>
                <w:rFonts w:ascii="Arial" w:hAnsi="Arial" w:cs="Arial"/>
                <w:sz w:val="20"/>
                <w:szCs w:val="20"/>
              </w:rPr>
              <w:t>ricing</w:t>
            </w:r>
          </w:p>
          <w:p w14:paraId="52F44712" w14:textId="77777777" w:rsidR="007711C9" w:rsidRPr="00E51B78" w:rsidRDefault="007711C9" w:rsidP="00E77B6B">
            <w:pPr>
              <w:spacing w:before="60" w:after="60"/>
              <w:rPr>
                <w:rFonts w:ascii="Arial" w:hAnsi="Arial" w:cs="Arial"/>
                <w:sz w:val="20"/>
                <w:szCs w:val="20"/>
              </w:rPr>
            </w:pPr>
          </w:p>
        </w:tc>
        <w:tc>
          <w:tcPr>
            <w:tcW w:w="91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85E6B2D" w14:textId="77896CBB" w:rsidR="00B7533D" w:rsidRPr="00E51B78" w:rsidRDefault="00E1454E" w:rsidP="00E77B6B">
            <w:pPr>
              <w:pStyle w:val="ListParagraph"/>
              <w:numPr>
                <w:ilvl w:val="0"/>
                <w:numId w:val="13"/>
              </w:numPr>
              <w:spacing w:before="60" w:after="60"/>
              <w:ind w:left="346"/>
              <w:rPr>
                <w:rFonts w:ascii="Arial" w:hAnsi="Arial" w:cs="Arial"/>
                <w:sz w:val="20"/>
                <w:szCs w:val="20"/>
              </w:rPr>
            </w:pPr>
            <w:r w:rsidRPr="00E51B78">
              <w:rPr>
                <w:rFonts w:ascii="Arial" w:hAnsi="Arial" w:cs="Arial"/>
                <w:sz w:val="20"/>
                <w:szCs w:val="20"/>
              </w:rPr>
              <w:t>After</w:t>
            </w:r>
            <w:r w:rsidR="00782F04" w:rsidRPr="00E51B78">
              <w:rPr>
                <w:rFonts w:ascii="Arial" w:hAnsi="Arial" w:cs="Arial"/>
                <w:sz w:val="20"/>
                <w:szCs w:val="20"/>
              </w:rPr>
              <w:t xml:space="preserve"> pulling the</w:t>
            </w:r>
            <w:r w:rsidR="00106808" w:rsidRPr="00E51B78">
              <w:rPr>
                <w:rFonts w:ascii="Arial" w:hAnsi="Arial" w:cs="Arial"/>
                <w:sz w:val="20"/>
                <w:szCs w:val="20"/>
              </w:rPr>
              <w:t>s</w:t>
            </w:r>
            <w:r w:rsidR="00782F04" w:rsidRPr="00E51B78">
              <w:rPr>
                <w:rFonts w:ascii="Arial" w:hAnsi="Arial" w:cs="Arial"/>
                <w:sz w:val="20"/>
                <w:szCs w:val="20"/>
              </w:rPr>
              <w:t>e data</w:t>
            </w:r>
            <w:r w:rsidR="00080AA3" w:rsidRPr="00E51B78">
              <w:rPr>
                <w:rFonts w:ascii="Arial" w:hAnsi="Arial" w:cs="Arial"/>
                <w:sz w:val="20"/>
                <w:szCs w:val="20"/>
              </w:rPr>
              <w:t xml:space="preserve">, calculate the weighted price for each NDC within </w:t>
            </w:r>
            <w:r w:rsidR="008422DF" w:rsidRPr="00E51B78">
              <w:rPr>
                <w:rFonts w:ascii="Arial" w:hAnsi="Arial" w:cs="Arial"/>
                <w:sz w:val="20"/>
                <w:szCs w:val="20"/>
              </w:rPr>
              <w:t xml:space="preserve">your wholesaler’s drug catalog </w:t>
            </w:r>
            <w:r w:rsidR="00831227" w:rsidRPr="00E51B78">
              <w:rPr>
                <w:rFonts w:ascii="Arial" w:hAnsi="Arial" w:cs="Arial"/>
                <w:sz w:val="20"/>
                <w:szCs w:val="20"/>
              </w:rPr>
              <w:t xml:space="preserve">using the methodology describe in the </w:t>
            </w:r>
            <w:r w:rsidR="00106808" w:rsidRPr="00E51B78">
              <w:rPr>
                <w:rFonts w:ascii="Arial" w:hAnsi="Arial" w:cs="Arial"/>
                <w:sz w:val="20"/>
                <w:szCs w:val="20"/>
              </w:rPr>
              <w:t xml:space="preserve">preceding </w:t>
            </w:r>
            <w:r w:rsidR="00831227" w:rsidRPr="00E51B78">
              <w:rPr>
                <w:rFonts w:ascii="Arial" w:hAnsi="Arial" w:cs="Arial"/>
                <w:sz w:val="20"/>
                <w:szCs w:val="20"/>
              </w:rPr>
              <w:t xml:space="preserve">example.  </w:t>
            </w:r>
          </w:p>
          <w:p w14:paraId="77AD7E3F" w14:textId="0C6DA0D3" w:rsidR="00831227" w:rsidRPr="00E51B78" w:rsidRDefault="00831227" w:rsidP="00E77B6B">
            <w:pPr>
              <w:pStyle w:val="ListParagraph"/>
              <w:numPr>
                <w:ilvl w:val="1"/>
                <w:numId w:val="12"/>
              </w:numPr>
              <w:spacing w:before="60" w:after="60"/>
              <w:contextualSpacing w:val="0"/>
              <w:rPr>
                <w:rFonts w:ascii="Arial" w:hAnsi="Arial" w:cs="Arial"/>
                <w:sz w:val="20"/>
                <w:szCs w:val="20"/>
              </w:rPr>
            </w:pPr>
            <w:r w:rsidRPr="00E51B78">
              <w:rPr>
                <w:rFonts w:ascii="Arial" w:hAnsi="Arial" w:cs="Arial"/>
                <w:sz w:val="20"/>
                <w:szCs w:val="20"/>
              </w:rPr>
              <w:t xml:space="preserve">This can be done through logic built into an Excel spreadsheet or Access database.  </w:t>
            </w:r>
          </w:p>
          <w:p w14:paraId="1767F24B" w14:textId="04C5FBE3" w:rsidR="00831227" w:rsidRPr="00E51B78" w:rsidRDefault="008422DF" w:rsidP="00E77B6B">
            <w:pPr>
              <w:pStyle w:val="ListParagraph"/>
              <w:numPr>
                <w:ilvl w:val="0"/>
                <w:numId w:val="13"/>
              </w:numPr>
              <w:spacing w:before="60" w:after="60"/>
              <w:ind w:left="342"/>
              <w:rPr>
                <w:rFonts w:ascii="Arial" w:hAnsi="Arial" w:cs="Arial"/>
                <w:sz w:val="20"/>
                <w:szCs w:val="20"/>
              </w:rPr>
            </w:pPr>
            <w:r w:rsidRPr="00E51B78">
              <w:rPr>
                <w:rFonts w:ascii="Arial" w:hAnsi="Arial" w:cs="Arial"/>
                <w:sz w:val="20"/>
                <w:szCs w:val="20"/>
              </w:rPr>
              <w:t xml:space="preserve">Compare the weighted price for NDCs in your entity’s purchase history to alternative NDCs available </w:t>
            </w:r>
            <w:r w:rsidR="00FF5A1C" w:rsidRPr="00E51B78">
              <w:rPr>
                <w:rFonts w:ascii="Arial" w:hAnsi="Arial" w:cs="Arial"/>
                <w:sz w:val="20"/>
                <w:szCs w:val="20"/>
              </w:rPr>
              <w:t xml:space="preserve">within the wholesaler catalog.  </w:t>
            </w:r>
          </w:p>
          <w:p w14:paraId="7EB90A39" w14:textId="66BD3B8D" w:rsidR="00FF5A1C" w:rsidRPr="00E51B78" w:rsidRDefault="00FF5A1C" w:rsidP="00E77B6B">
            <w:pPr>
              <w:pStyle w:val="ListParagraph"/>
              <w:numPr>
                <w:ilvl w:val="0"/>
                <w:numId w:val="13"/>
              </w:numPr>
              <w:spacing w:before="60" w:after="60"/>
              <w:ind w:left="342"/>
              <w:rPr>
                <w:rFonts w:ascii="Arial" w:hAnsi="Arial" w:cs="Arial"/>
                <w:sz w:val="20"/>
                <w:szCs w:val="20"/>
              </w:rPr>
            </w:pPr>
            <w:r w:rsidRPr="00E51B78">
              <w:rPr>
                <w:rFonts w:ascii="Arial" w:hAnsi="Arial" w:cs="Arial"/>
                <w:sz w:val="20"/>
                <w:szCs w:val="20"/>
              </w:rPr>
              <w:t xml:space="preserve">Identify generic alternatives with a lower weighted price and evaluate savings opportunities.  </w:t>
            </w:r>
          </w:p>
          <w:p w14:paraId="689D3905" w14:textId="69D7DDBA" w:rsidR="00FF5A1C" w:rsidRPr="00E51B78" w:rsidRDefault="00345D8B" w:rsidP="00E77B6B">
            <w:pPr>
              <w:pStyle w:val="ListParagraph"/>
              <w:numPr>
                <w:ilvl w:val="0"/>
                <w:numId w:val="13"/>
              </w:numPr>
              <w:spacing w:before="60" w:after="60"/>
              <w:ind w:left="342"/>
              <w:rPr>
                <w:rFonts w:ascii="Arial" w:hAnsi="Arial" w:cs="Arial"/>
                <w:sz w:val="20"/>
                <w:szCs w:val="20"/>
              </w:rPr>
            </w:pPr>
            <w:r w:rsidRPr="00E51B78">
              <w:rPr>
                <w:rFonts w:ascii="Arial" w:hAnsi="Arial" w:cs="Arial"/>
                <w:sz w:val="20"/>
                <w:szCs w:val="20"/>
              </w:rPr>
              <w:t>Consider wholesaler availability of alternative products and operational updates to relevant systems (e.g., inventory management s</w:t>
            </w:r>
            <w:r w:rsidR="00A25751" w:rsidRPr="00E51B78">
              <w:rPr>
                <w:rFonts w:ascii="Arial" w:hAnsi="Arial" w:cs="Arial"/>
                <w:sz w:val="20"/>
                <w:szCs w:val="20"/>
              </w:rPr>
              <w:t>ystem, electronic medical record/billing software, split-billing software)</w:t>
            </w:r>
            <w:r w:rsidRPr="00E51B78">
              <w:rPr>
                <w:rFonts w:ascii="Arial" w:hAnsi="Arial" w:cs="Arial"/>
                <w:sz w:val="20"/>
                <w:szCs w:val="20"/>
              </w:rPr>
              <w:t xml:space="preserve">.  </w:t>
            </w:r>
          </w:p>
          <w:p w14:paraId="685ADB00" w14:textId="77777777" w:rsidR="00A25751" w:rsidRPr="00E51B78" w:rsidRDefault="00A25751" w:rsidP="00E77B6B">
            <w:pPr>
              <w:spacing w:before="60" w:after="60"/>
              <w:ind w:left="-18"/>
              <w:rPr>
                <w:rFonts w:ascii="Arial" w:hAnsi="Arial" w:cs="Arial"/>
                <w:sz w:val="20"/>
                <w:szCs w:val="20"/>
              </w:rPr>
            </w:pPr>
          </w:p>
          <w:p w14:paraId="41B0FC41" w14:textId="53D0CF38" w:rsidR="00E1454E" w:rsidRPr="00E51B78" w:rsidRDefault="00A25751" w:rsidP="00E77B6B">
            <w:pPr>
              <w:spacing w:before="60" w:after="60"/>
              <w:rPr>
                <w:rFonts w:ascii="Arial" w:hAnsi="Arial" w:cs="Arial"/>
                <w:sz w:val="20"/>
                <w:szCs w:val="20"/>
              </w:rPr>
            </w:pPr>
            <w:r w:rsidRPr="00E51B78">
              <w:rPr>
                <w:rFonts w:ascii="Arial" w:hAnsi="Arial" w:cs="Arial"/>
                <w:sz w:val="20"/>
                <w:szCs w:val="20"/>
              </w:rPr>
              <w:t>Note: PVP participants can d</w:t>
            </w:r>
            <w:r w:rsidR="005C2FE2" w:rsidRPr="00E51B78">
              <w:rPr>
                <w:rFonts w:ascii="Arial" w:hAnsi="Arial" w:cs="Arial"/>
                <w:sz w:val="20"/>
                <w:szCs w:val="20"/>
              </w:rPr>
              <w:t>ownload the PVP Weighted Pricing Tool from the 340bpvp.com secure website</w:t>
            </w:r>
            <w:r w:rsidR="00E47B37" w:rsidRPr="00E51B78">
              <w:rPr>
                <w:rFonts w:ascii="Arial" w:hAnsi="Arial" w:cs="Arial"/>
                <w:sz w:val="20"/>
                <w:szCs w:val="20"/>
              </w:rPr>
              <w:t xml:space="preserve"> (under “Purchasing Decision Resources”)</w:t>
            </w:r>
            <w:r w:rsidR="006D5360" w:rsidRPr="00E51B78">
              <w:rPr>
                <w:rFonts w:ascii="Arial" w:hAnsi="Arial" w:cs="Arial"/>
                <w:sz w:val="20"/>
                <w:szCs w:val="20"/>
              </w:rPr>
              <w:t xml:space="preserve">, which </w:t>
            </w:r>
            <w:r w:rsidR="00DA0807" w:rsidRPr="00E51B78">
              <w:rPr>
                <w:rFonts w:ascii="Arial" w:hAnsi="Arial" w:cs="Arial"/>
                <w:sz w:val="20"/>
                <w:szCs w:val="20"/>
              </w:rPr>
              <w:t xml:space="preserve">helps automate </w:t>
            </w:r>
            <w:r w:rsidR="006D5360" w:rsidRPr="00E51B78">
              <w:rPr>
                <w:rFonts w:ascii="Arial" w:hAnsi="Arial" w:cs="Arial"/>
                <w:sz w:val="20"/>
                <w:szCs w:val="20"/>
              </w:rPr>
              <w:t xml:space="preserve">the weighted pricing calculations.  </w:t>
            </w:r>
          </w:p>
        </w:tc>
      </w:tr>
    </w:tbl>
    <w:p w14:paraId="7C112952" w14:textId="77777777" w:rsidR="00130994" w:rsidRDefault="00130994" w:rsidP="00C85B1A">
      <w:pPr>
        <w:rPr>
          <w:rFonts w:ascii="Arial" w:hAnsi="Arial" w:cs="Arial"/>
          <w:u w:val="single"/>
        </w:rPr>
      </w:pPr>
    </w:p>
    <w:p w14:paraId="50A44DF3" w14:textId="2AB7DBB9" w:rsidR="00831E24" w:rsidRDefault="00831E24" w:rsidP="00C85B1A">
      <w:pPr>
        <w:rPr>
          <w:rFonts w:ascii="Arial" w:hAnsi="Arial" w:cs="Arial"/>
          <w:b/>
          <w:bCs/>
        </w:rPr>
      </w:pPr>
    </w:p>
    <w:p w14:paraId="6A75221E" w14:textId="77777777" w:rsidR="00E4547A" w:rsidRDefault="00E4547A" w:rsidP="00C85B1A">
      <w:pPr>
        <w:rPr>
          <w:rFonts w:ascii="Arial" w:hAnsi="Arial" w:cs="Arial"/>
          <w:b/>
          <w:bCs/>
        </w:rPr>
      </w:pPr>
    </w:p>
    <w:p w14:paraId="184AFBF9" w14:textId="77777777" w:rsidR="00E77B6B" w:rsidRDefault="00E77B6B" w:rsidP="00C85B1A">
      <w:pPr>
        <w:rPr>
          <w:rFonts w:ascii="Arial" w:hAnsi="Arial" w:cs="Arial"/>
          <w:b/>
          <w:bCs/>
        </w:rPr>
      </w:pPr>
    </w:p>
    <w:p w14:paraId="5D8F3211" w14:textId="77777777" w:rsidR="00831E24" w:rsidRDefault="00831E24" w:rsidP="00C85B1A">
      <w:pPr>
        <w:rPr>
          <w:rFonts w:ascii="Arial" w:hAnsi="Arial" w:cs="Arial"/>
          <w:b/>
          <w:bCs/>
        </w:rPr>
      </w:pPr>
    </w:p>
    <w:p w14:paraId="39059DEB" w14:textId="4A4F4176" w:rsidR="000B2745" w:rsidRPr="001D6A6F" w:rsidRDefault="003427B4" w:rsidP="00E77B6B">
      <w:pPr>
        <w:spacing w:after="240" w:line="240" w:lineRule="auto"/>
        <w:rPr>
          <w:rFonts w:ascii="Arial" w:hAnsi="Arial" w:cs="Arial"/>
        </w:rPr>
      </w:pPr>
      <w:r w:rsidRPr="002B3A5C">
        <w:rPr>
          <w:rFonts w:ascii="Arial" w:hAnsi="Arial" w:cs="Arial"/>
          <w:b/>
          <w:bCs/>
        </w:rPr>
        <w:lastRenderedPageBreak/>
        <w:t>Step 2</w:t>
      </w:r>
      <w:r w:rsidR="00C85B1A" w:rsidRPr="002B3A5C">
        <w:rPr>
          <w:rFonts w:ascii="Arial" w:hAnsi="Arial" w:cs="Arial"/>
          <w:b/>
          <w:bCs/>
        </w:rPr>
        <w:t>:</w:t>
      </w:r>
      <w:r w:rsidR="00C85B1A" w:rsidRPr="001D6A6F">
        <w:rPr>
          <w:rFonts w:ascii="Arial" w:hAnsi="Arial" w:cs="Arial"/>
        </w:rPr>
        <w:t xml:space="preserve"> </w:t>
      </w:r>
      <w:r w:rsidRPr="001D6A6F">
        <w:rPr>
          <w:rFonts w:ascii="Arial" w:hAnsi="Arial" w:cs="Arial"/>
        </w:rPr>
        <w:t xml:space="preserve">Assess WAC </w:t>
      </w:r>
      <w:r w:rsidR="00C66D23">
        <w:rPr>
          <w:rFonts w:ascii="Arial" w:hAnsi="Arial" w:cs="Arial"/>
        </w:rPr>
        <w:t>A</w:t>
      </w:r>
      <w:r w:rsidRPr="001D6A6F">
        <w:rPr>
          <w:rFonts w:ascii="Arial" w:hAnsi="Arial" w:cs="Arial"/>
        </w:rPr>
        <w:t>ccount</w:t>
      </w:r>
      <w:r w:rsidR="00327E0A" w:rsidRPr="001D6A6F">
        <w:rPr>
          <w:rFonts w:ascii="Arial" w:hAnsi="Arial" w:cs="Arial"/>
        </w:rPr>
        <w:t xml:space="preserve"> </w:t>
      </w:r>
      <w:r w:rsidR="00873761" w:rsidRPr="001D6A6F">
        <w:rPr>
          <w:rFonts w:ascii="Arial" w:hAnsi="Arial" w:cs="Arial"/>
        </w:rPr>
        <w:t>P</w:t>
      </w:r>
      <w:r w:rsidR="00327E0A" w:rsidRPr="001D6A6F">
        <w:rPr>
          <w:rFonts w:ascii="Arial" w:hAnsi="Arial" w:cs="Arial"/>
        </w:rPr>
        <w:t>urchases</w:t>
      </w:r>
    </w:p>
    <w:p w14:paraId="15ACFA77" w14:textId="79C63E14" w:rsidR="003E665D" w:rsidRDefault="003427B4" w:rsidP="00E77B6B">
      <w:pPr>
        <w:spacing w:after="240" w:line="240" w:lineRule="auto"/>
        <w:rPr>
          <w:rFonts w:ascii="Arial" w:hAnsi="Arial" w:cs="Arial"/>
        </w:rPr>
      </w:pPr>
      <w:r>
        <w:rPr>
          <w:rFonts w:ascii="Arial" w:hAnsi="Arial" w:cs="Arial"/>
        </w:rPr>
        <w:t xml:space="preserve">Once </w:t>
      </w:r>
      <w:r w:rsidR="00FF43B0">
        <w:rPr>
          <w:rFonts w:ascii="Arial" w:hAnsi="Arial" w:cs="Arial"/>
        </w:rPr>
        <w:t xml:space="preserve">you have selected </w:t>
      </w:r>
      <w:r w:rsidR="00620CA1">
        <w:rPr>
          <w:rFonts w:ascii="Arial" w:hAnsi="Arial" w:cs="Arial"/>
        </w:rPr>
        <w:t xml:space="preserve">your entity’s preferred </w:t>
      </w:r>
      <w:r w:rsidR="00FF43B0">
        <w:rPr>
          <w:rFonts w:ascii="Arial" w:hAnsi="Arial" w:cs="Arial"/>
        </w:rPr>
        <w:t xml:space="preserve">products </w:t>
      </w:r>
      <w:r w:rsidR="003517EB">
        <w:rPr>
          <w:rFonts w:ascii="Arial" w:hAnsi="Arial" w:cs="Arial"/>
        </w:rPr>
        <w:t>based on weighted price analys</w:t>
      </w:r>
      <w:r w:rsidR="00620CA1">
        <w:rPr>
          <w:rFonts w:ascii="Arial" w:hAnsi="Arial" w:cs="Arial"/>
        </w:rPr>
        <w:t>e</w:t>
      </w:r>
      <w:r w:rsidR="003517EB">
        <w:rPr>
          <w:rFonts w:ascii="Arial" w:hAnsi="Arial" w:cs="Arial"/>
        </w:rPr>
        <w:t>s</w:t>
      </w:r>
      <w:r w:rsidR="00310CD8">
        <w:rPr>
          <w:rFonts w:ascii="Arial" w:hAnsi="Arial" w:cs="Arial"/>
        </w:rPr>
        <w:t xml:space="preserve">, the next </w:t>
      </w:r>
      <w:r w:rsidR="00CE6AAD">
        <w:rPr>
          <w:rFonts w:ascii="Arial" w:hAnsi="Arial" w:cs="Arial"/>
        </w:rPr>
        <w:t xml:space="preserve">area of </w:t>
      </w:r>
      <w:r w:rsidR="00310CD8">
        <w:rPr>
          <w:rFonts w:ascii="Arial" w:hAnsi="Arial" w:cs="Arial"/>
        </w:rPr>
        <w:t xml:space="preserve">focus is </w:t>
      </w:r>
      <w:r w:rsidR="00620CA1">
        <w:rPr>
          <w:rFonts w:ascii="Arial" w:hAnsi="Arial" w:cs="Arial"/>
        </w:rPr>
        <w:t xml:space="preserve">to </w:t>
      </w:r>
      <w:r w:rsidR="006260D3">
        <w:rPr>
          <w:rFonts w:ascii="Arial" w:hAnsi="Arial" w:cs="Arial"/>
        </w:rPr>
        <w:t xml:space="preserve">assess </w:t>
      </w:r>
      <w:r w:rsidR="004C5FFF">
        <w:rPr>
          <w:rFonts w:ascii="Arial" w:hAnsi="Arial" w:cs="Arial"/>
        </w:rPr>
        <w:t>your entity’s WAC account purchases to identify areas for optimization</w:t>
      </w:r>
      <w:r w:rsidR="00F71DAF">
        <w:rPr>
          <w:rFonts w:ascii="Arial" w:hAnsi="Arial" w:cs="Arial"/>
        </w:rPr>
        <w:t>.</w:t>
      </w:r>
      <w:r w:rsidR="003D0639">
        <w:rPr>
          <w:rFonts w:ascii="Arial" w:hAnsi="Arial" w:cs="Arial"/>
        </w:rPr>
        <w:t xml:space="preserve"> </w:t>
      </w:r>
      <w:r w:rsidR="00F93629">
        <w:rPr>
          <w:rFonts w:ascii="Arial" w:hAnsi="Arial" w:cs="Arial"/>
        </w:rPr>
        <w:t xml:space="preserve">Note that not all WAC spend is </w:t>
      </w:r>
      <w:r w:rsidR="006D670E">
        <w:rPr>
          <w:rFonts w:ascii="Arial" w:hAnsi="Arial" w:cs="Arial"/>
        </w:rPr>
        <w:t>“</w:t>
      </w:r>
      <w:r w:rsidR="00F93629">
        <w:rPr>
          <w:rFonts w:ascii="Arial" w:hAnsi="Arial" w:cs="Arial"/>
        </w:rPr>
        <w:t>bad</w:t>
      </w:r>
      <w:r w:rsidR="006D670E">
        <w:rPr>
          <w:rFonts w:ascii="Arial" w:hAnsi="Arial" w:cs="Arial"/>
        </w:rPr>
        <w:t>”</w:t>
      </w:r>
      <w:r w:rsidR="00106808">
        <w:rPr>
          <w:rFonts w:ascii="Arial" w:hAnsi="Arial" w:cs="Arial"/>
        </w:rPr>
        <w:t>—</w:t>
      </w:r>
      <w:r w:rsidR="00DF75F5">
        <w:rPr>
          <w:rFonts w:ascii="Arial" w:hAnsi="Arial" w:cs="Arial"/>
        </w:rPr>
        <w:t>in fact</w:t>
      </w:r>
      <w:r w:rsidR="00106808">
        <w:rPr>
          <w:rFonts w:ascii="Arial" w:hAnsi="Arial" w:cs="Arial"/>
        </w:rPr>
        <w:t>,</w:t>
      </w:r>
      <w:r w:rsidR="00DF75F5">
        <w:rPr>
          <w:rFonts w:ascii="Arial" w:hAnsi="Arial" w:cs="Arial"/>
        </w:rPr>
        <w:t xml:space="preserve"> </w:t>
      </w:r>
      <w:r w:rsidR="00B01C57">
        <w:rPr>
          <w:rFonts w:ascii="Arial" w:hAnsi="Arial" w:cs="Arial"/>
        </w:rPr>
        <w:t xml:space="preserve">some </w:t>
      </w:r>
      <w:proofErr w:type="gramStart"/>
      <w:r w:rsidR="00F93629">
        <w:rPr>
          <w:rFonts w:ascii="Arial" w:hAnsi="Arial" w:cs="Arial"/>
        </w:rPr>
        <w:t>WAC</w:t>
      </w:r>
      <w:proofErr w:type="gramEnd"/>
      <w:r w:rsidR="00F93629">
        <w:rPr>
          <w:rFonts w:ascii="Arial" w:hAnsi="Arial" w:cs="Arial"/>
        </w:rPr>
        <w:t xml:space="preserve"> spend is necessary for hospitals </w:t>
      </w:r>
      <w:r w:rsidR="00B01C57">
        <w:rPr>
          <w:rFonts w:ascii="Arial" w:hAnsi="Arial" w:cs="Arial"/>
        </w:rPr>
        <w:t>subject to the GPO Prohibition</w:t>
      </w:r>
      <w:r w:rsidR="00EF61FE">
        <w:rPr>
          <w:rFonts w:ascii="Arial" w:hAnsi="Arial" w:cs="Arial"/>
        </w:rPr>
        <w:t xml:space="preserve"> to maintain </w:t>
      </w:r>
      <w:r w:rsidR="00DF75F5">
        <w:rPr>
          <w:rFonts w:ascii="Arial" w:hAnsi="Arial" w:cs="Arial"/>
        </w:rPr>
        <w:t xml:space="preserve">340B </w:t>
      </w:r>
      <w:r w:rsidR="00460CEA">
        <w:rPr>
          <w:rFonts w:ascii="Arial" w:hAnsi="Arial" w:cs="Arial"/>
        </w:rPr>
        <w:t>P</w:t>
      </w:r>
      <w:r w:rsidR="00DF75F5">
        <w:rPr>
          <w:rFonts w:ascii="Arial" w:hAnsi="Arial" w:cs="Arial"/>
        </w:rPr>
        <w:t xml:space="preserve">rogram </w:t>
      </w:r>
      <w:r w:rsidR="00EF61FE">
        <w:rPr>
          <w:rFonts w:ascii="Arial" w:hAnsi="Arial" w:cs="Arial"/>
        </w:rPr>
        <w:t>compliance</w:t>
      </w:r>
      <w:r w:rsidR="00B01C57">
        <w:rPr>
          <w:rFonts w:ascii="Arial" w:hAnsi="Arial" w:cs="Arial"/>
        </w:rPr>
        <w:t xml:space="preserve">. </w:t>
      </w:r>
      <w:r w:rsidR="00C67BEC">
        <w:rPr>
          <w:rFonts w:ascii="Arial" w:hAnsi="Arial" w:cs="Arial"/>
        </w:rPr>
        <w:t>The table below describes the different types of WAC spend</w:t>
      </w:r>
      <w:r w:rsidR="00106808">
        <w:rPr>
          <w:rFonts w:ascii="Arial" w:hAnsi="Arial" w:cs="Arial"/>
        </w:rPr>
        <w:t>,</w:t>
      </w:r>
      <w:r w:rsidR="00C67BEC">
        <w:rPr>
          <w:rFonts w:ascii="Arial" w:hAnsi="Arial" w:cs="Arial"/>
        </w:rPr>
        <w:t xml:space="preserve"> including examples of where you might find each type.  </w:t>
      </w:r>
    </w:p>
    <w:tbl>
      <w:tblPr>
        <w:tblStyle w:val="GridTable4-Accent6"/>
        <w:tblW w:w="10710" w:type="dxa"/>
        <w:tblInd w:w="8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94"/>
        <w:gridCol w:w="1495"/>
        <w:gridCol w:w="7721"/>
      </w:tblGrid>
      <w:tr w:rsidR="002732CD" w14:paraId="003864C3" w14:textId="77777777" w:rsidTr="00840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tcBorders>
              <w:top w:val="none" w:sz="0" w:space="0" w:color="auto"/>
              <w:left w:val="none" w:sz="0" w:space="0" w:color="auto"/>
              <w:bottom w:val="none" w:sz="0" w:space="0" w:color="auto"/>
              <w:right w:val="none" w:sz="0" w:space="0" w:color="auto"/>
            </w:tcBorders>
            <w:shd w:val="clear" w:color="auto" w:fill="002060"/>
          </w:tcPr>
          <w:p w14:paraId="018CC3E2" w14:textId="1D479AF2" w:rsidR="002732CD" w:rsidRDefault="002732CD" w:rsidP="00840A96">
            <w:pPr>
              <w:spacing w:before="60" w:after="60"/>
              <w:rPr>
                <w:rFonts w:ascii="Arial" w:hAnsi="Arial" w:cs="Arial"/>
              </w:rPr>
            </w:pPr>
            <w:r w:rsidRPr="09930CAC">
              <w:rPr>
                <w:rFonts w:ascii="Arial" w:hAnsi="Arial" w:cs="Arial"/>
              </w:rPr>
              <w:t>Type of WAC Spend</w:t>
            </w:r>
          </w:p>
        </w:tc>
        <w:tc>
          <w:tcPr>
            <w:tcW w:w="1495" w:type="dxa"/>
            <w:tcBorders>
              <w:top w:val="none" w:sz="0" w:space="0" w:color="auto"/>
              <w:left w:val="none" w:sz="0" w:space="0" w:color="auto"/>
              <w:bottom w:val="none" w:sz="0" w:space="0" w:color="auto"/>
              <w:right w:val="none" w:sz="0" w:space="0" w:color="auto"/>
            </w:tcBorders>
            <w:shd w:val="clear" w:color="auto" w:fill="002060"/>
            <w:vAlign w:val="center"/>
          </w:tcPr>
          <w:p w14:paraId="104374CB" w14:textId="745970D2" w:rsidR="002732CD" w:rsidRDefault="002732CD" w:rsidP="00840A9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Definition</w:t>
            </w:r>
          </w:p>
        </w:tc>
        <w:tc>
          <w:tcPr>
            <w:tcW w:w="7806" w:type="dxa"/>
            <w:tcBorders>
              <w:top w:val="none" w:sz="0" w:space="0" w:color="auto"/>
              <w:left w:val="none" w:sz="0" w:space="0" w:color="auto"/>
              <w:bottom w:val="none" w:sz="0" w:space="0" w:color="auto"/>
              <w:right w:val="none" w:sz="0" w:space="0" w:color="auto"/>
            </w:tcBorders>
            <w:shd w:val="clear" w:color="auto" w:fill="002060"/>
            <w:vAlign w:val="center"/>
          </w:tcPr>
          <w:p w14:paraId="06E4525D" w14:textId="35DE9FB0" w:rsidR="002732CD" w:rsidRDefault="002732CD" w:rsidP="00840A96">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9930CAC">
              <w:rPr>
                <w:rFonts w:ascii="Arial" w:hAnsi="Arial" w:cs="Arial"/>
              </w:rPr>
              <w:t>Examples</w:t>
            </w:r>
          </w:p>
        </w:tc>
      </w:tr>
      <w:tr w:rsidR="002732CD" w14:paraId="26132A38" w14:textId="77777777" w:rsidTr="00E51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shd w:val="clear" w:color="auto" w:fill="auto"/>
          </w:tcPr>
          <w:p w14:paraId="0E7E33B2" w14:textId="037B0E71" w:rsidR="002732CD" w:rsidRPr="00E51B78" w:rsidRDefault="004D36E1" w:rsidP="00B731DE">
            <w:pPr>
              <w:spacing w:before="60" w:after="60"/>
              <w:rPr>
                <w:rFonts w:ascii="Arial" w:hAnsi="Arial" w:cs="Arial"/>
                <w:sz w:val="20"/>
                <w:szCs w:val="20"/>
              </w:rPr>
            </w:pPr>
            <w:r w:rsidRPr="00E51B78">
              <w:rPr>
                <w:rFonts w:ascii="Arial" w:hAnsi="Arial" w:cs="Arial"/>
                <w:sz w:val="20"/>
                <w:szCs w:val="20"/>
              </w:rPr>
              <w:t>Compliance WAC</w:t>
            </w:r>
          </w:p>
        </w:tc>
        <w:tc>
          <w:tcPr>
            <w:tcW w:w="1495" w:type="dxa"/>
            <w:shd w:val="clear" w:color="auto" w:fill="auto"/>
          </w:tcPr>
          <w:p w14:paraId="1A91DAE5" w14:textId="0AF524A4" w:rsidR="002732CD" w:rsidRPr="00E51B78" w:rsidRDefault="004D36E1" w:rsidP="00B731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1B78">
              <w:rPr>
                <w:rFonts w:ascii="Arial" w:hAnsi="Arial" w:cs="Arial"/>
                <w:sz w:val="20"/>
                <w:szCs w:val="20"/>
              </w:rPr>
              <w:t>Required for 340B program compliance</w:t>
            </w:r>
          </w:p>
        </w:tc>
        <w:tc>
          <w:tcPr>
            <w:tcW w:w="7806" w:type="dxa"/>
            <w:shd w:val="clear" w:color="auto" w:fill="auto"/>
          </w:tcPr>
          <w:p w14:paraId="6BE66162" w14:textId="77777777" w:rsidR="002732CD" w:rsidRPr="00E51B78" w:rsidRDefault="004D36E1" w:rsidP="00B731DE">
            <w:pPr>
              <w:pStyle w:val="ListParagraph"/>
              <w:numPr>
                <w:ilvl w:val="0"/>
                <w:numId w:val="24"/>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1B78">
              <w:rPr>
                <w:rFonts w:ascii="Arial" w:hAnsi="Arial" w:cs="Arial"/>
                <w:sz w:val="20"/>
                <w:szCs w:val="20"/>
              </w:rPr>
              <w:t>Covered outpatient drug dispensed or administered to an ineligible patient (e.g., seen by an ineligible physician or at an ineligible site)</w:t>
            </w:r>
          </w:p>
          <w:p w14:paraId="441EDDE3" w14:textId="77777777" w:rsidR="004D36E1" w:rsidRPr="00E51B78" w:rsidRDefault="004D36E1" w:rsidP="00B731DE">
            <w:pPr>
              <w:pStyle w:val="ListParagraph"/>
              <w:numPr>
                <w:ilvl w:val="0"/>
                <w:numId w:val="24"/>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1B78">
              <w:rPr>
                <w:rFonts w:ascii="Arial" w:hAnsi="Arial" w:cs="Arial"/>
                <w:sz w:val="20"/>
                <w:szCs w:val="20"/>
              </w:rPr>
              <w:t>Medicaid carve-out</w:t>
            </w:r>
          </w:p>
          <w:p w14:paraId="68873543" w14:textId="2E796BA4" w:rsidR="004D36E1" w:rsidRPr="00FE35D1" w:rsidRDefault="004D36E1" w:rsidP="00FE35D1">
            <w:pPr>
              <w:pStyle w:val="ListParagraph"/>
              <w:numPr>
                <w:ilvl w:val="0"/>
                <w:numId w:val="24"/>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1B78">
              <w:rPr>
                <w:rFonts w:ascii="Arial" w:hAnsi="Arial" w:cs="Arial"/>
                <w:sz w:val="20"/>
                <w:szCs w:val="20"/>
              </w:rPr>
              <w:t>WAC-based neutral inventory</w:t>
            </w:r>
          </w:p>
        </w:tc>
      </w:tr>
      <w:tr w:rsidR="002732CD" w14:paraId="5398AAEA" w14:textId="77777777" w:rsidTr="00E51B78">
        <w:tc>
          <w:tcPr>
            <w:cnfStyle w:val="001000000000" w:firstRow="0" w:lastRow="0" w:firstColumn="1" w:lastColumn="0" w:oddVBand="0" w:evenVBand="0" w:oddHBand="0" w:evenHBand="0" w:firstRowFirstColumn="0" w:firstRowLastColumn="0" w:lastRowFirstColumn="0" w:lastRowLastColumn="0"/>
            <w:tcW w:w="1409" w:type="dxa"/>
            <w:shd w:val="clear" w:color="auto" w:fill="auto"/>
          </w:tcPr>
          <w:p w14:paraId="484776AB" w14:textId="6FDDB46D" w:rsidR="002732CD" w:rsidRPr="00E51B78" w:rsidRDefault="004D36E1" w:rsidP="00B731DE">
            <w:pPr>
              <w:spacing w:before="60" w:after="60"/>
              <w:rPr>
                <w:rFonts w:ascii="Arial" w:hAnsi="Arial" w:cs="Arial"/>
                <w:sz w:val="20"/>
                <w:szCs w:val="20"/>
              </w:rPr>
            </w:pPr>
            <w:r w:rsidRPr="00E51B78">
              <w:rPr>
                <w:rFonts w:ascii="Arial" w:hAnsi="Arial" w:cs="Arial"/>
                <w:sz w:val="20"/>
                <w:szCs w:val="20"/>
              </w:rPr>
              <w:t>Intentional WAC</w:t>
            </w:r>
          </w:p>
        </w:tc>
        <w:tc>
          <w:tcPr>
            <w:tcW w:w="1495" w:type="dxa"/>
            <w:shd w:val="clear" w:color="auto" w:fill="auto"/>
          </w:tcPr>
          <w:p w14:paraId="78A04D2B" w14:textId="6D686858" w:rsidR="002732CD" w:rsidRPr="00E51B78" w:rsidRDefault="004D36E1" w:rsidP="00B731D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1B78">
              <w:rPr>
                <w:rFonts w:ascii="Arial" w:hAnsi="Arial" w:cs="Arial"/>
                <w:sz w:val="20"/>
                <w:szCs w:val="20"/>
              </w:rPr>
              <w:t>Chosen for cost savings</w:t>
            </w:r>
          </w:p>
        </w:tc>
        <w:tc>
          <w:tcPr>
            <w:tcW w:w="7806" w:type="dxa"/>
            <w:shd w:val="clear" w:color="auto" w:fill="auto"/>
          </w:tcPr>
          <w:p w14:paraId="423439E5" w14:textId="77777777" w:rsidR="002732CD" w:rsidRPr="00E51B78" w:rsidRDefault="004D36E1" w:rsidP="00B731DE">
            <w:pPr>
              <w:pStyle w:val="ListParagraph"/>
              <w:numPr>
                <w:ilvl w:val="0"/>
                <w:numId w:val="25"/>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1B78">
              <w:rPr>
                <w:rFonts w:ascii="Arial" w:hAnsi="Arial" w:cs="Arial"/>
                <w:sz w:val="20"/>
                <w:szCs w:val="20"/>
              </w:rPr>
              <w:t>WAC price point advantageous (e.g., individual or sub-WAC contract)</w:t>
            </w:r>
          </w:p>
          <w:p w14:paraId="38BD5CAA" w14:textId="4CDF177F" w:rsidR="004D36E1" w:rsidRPr="00E51B78" w:rsidRDefault="004D36E1" w:rsidP="00B731DE">
            <w:pPr>
              <w:pStyle w:val="ListParagraph"/>
              <w:numPr>
                <w:ilvl w:val="0"/>
                <w:numId w:val="25"/>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51B78">
              <w:rPr>
                <w:rFonts w:ascii="Arial" w:hAnsi="Arial" w:cs="Arial"/>
                <w:sz w:val="20"/>
                <w:szCs w:val="20"/>
              </w:rPr>
              <w:t>Ineligible patients intentionally captured (e.g., employees not meeting the patient definition filling prescriptions at entity-owned retail pharmacies)</w:t>
            </w:r>
          </w:p>
        </w:tc>
      </w:tr>
      <w:tr w:rsidR="002732CD" w14:paraId="475717C4" w14:textId="77777777" w:rsidTr="00E51B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shd w:val="clear" w:color="auto" w:fill="auto"/>
          </w:tcPr>
          <w:p w14:paraId="22E1C5F3" w14:textId="0466473C" w:rsidR="002732CD" w:rsidRPr="00E51B78" w:rsidRDefault="004D36E1" w:rsidP="00B731DE">
            <w:pPr>
              <w:spacing w:before="60" w:after="60"/>
              <w:rPr>
                <w:rFonts w:ascii="Arial" w:hAnsi="Arial" w:cs="Arial"/>
                <w:sz w:val="20"/>
                <w:szCs w:val="20"/>
              </w:rPr>
            </w:pPr>
            <w:r w:rsidRPr="00E51B78">
              <w:rPr>
                <w:rFonts w:ascii="Arial" w:hAnsi="Arial" w:cs="Arial"/>
                <w:sz w:val="20"/>
                <w:szCs w:val="20"/>
              </w:rPr>
              <w:t>Unintentional WAC</w:t>
            </w:r>
          </w:p>
        </w:tc>
        <w:tc>
          <w:tcPr>
            <w:tcW w:w="1495" w:type="dxa"/>
            <w:shd w:val="clear" w:color="auto" w:fill="auto"/>
          </w:tcPr>
          <w:p w14:paraId="4A73C72E" w14:textId="69791CF3" w:rsidR="002732CD" w:rsidRPr="00E51B78" w:rsidRDefault="004D36E1" w:rsidP="00B731D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1B78">
              <w:rPr>
                <w:rFonts w:ascii="Arial" w:hAnsi="Arial" w:cs="Arial"/>
                <w:sz w:val="20"/>
                <w:szCs w:val="20"/>
              </w:rPr>
              <w:t>Defaulted to WAC, but may have been eligible for 340B or GPO</w:t>
            </w:r>
            <w:r w:rsidR="00840A96">
              <w:rPr>
                <w:rFonts w:ascii="Arial" w:hAnsi="Arial" w:cs="Arial"/>
                <w:sz w:val="20"/>
                <w:szCs w:val="20"/>
              </w:rPr>
              <w:t xml:space="preserve"> </w:t>
            </w:r>
            <w:r w:rsidRPr="00E51B78">
              <w:rPr>
                <w:rFonts w:ascii="Arial" w:hAnsi="Arial" w:cs="Arial"/>
                <w:sz w:val="20"/>
                <w:szCs w:val="20"/>
              </w:rPr>
              <w:t>accumulations</w:t>
            </w:r>
          </w:p>
        </w:tc>
        <w:tc>
          <w:tcPr>
            <w:tcW w:w="7806" w:type="dxa"/>
            <w:shd w:val="clear" w:color="auto" w:fill="auto"/>
          </w:tcPr>
          <w:p w14:paraId="18C7B4E2" w14:textId="77777777" w:rsidR="002732CD" w:rsidRPr="00E51B78" w:rsidRDefault="004D36E1" w:rsidP="00B731DE">
            <w:pPr>
              <w:pStyle w:val="ListParagraph"/>
              <w:numPr>
                <w:ilvl w:val="0"/>
                <w:numId w:val="26"/>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1B78">
              <w:rPr>
                <w:rFonts w:ascii="Arial" w:hAnsi="Arial" w:cs="Arial"/>
                <w:sz w:val="20"/>
                <w:szCs w:val="20"/>
              </w:rPr>
              <w:t>Waste, charge capture, or data integration issues</w:t>
            </w:r>
          </w:p>
          <w:p w14:paraId="3F4C7D9C" w14:textId="77777777" w:rsidR="004D36E1" w:rsidRPr="00E51B78" w:rsidRDefault="004D36E1" w:rsidP="00B731DE">
            <w:pPr>
              <w:pStyle w:val="ListParagraph"/>
              <w:numPr>
                <w:ilvl w:val="0"/>
                <w:numId w:val="26"/>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1B78">
              <w:rPr>
                <w:rFonts w:ascii="Arial" w:hAnsi="Arial" w:cs="Arial"/>
                <w:sz w:val="20"/>
                <w:szCs w:val="20"/>
              </w:rPr>
              <w:t>Incorrect mapping or conversion factor in split-billing software</w:t>
            </w:r>
          </w:p>
          <w:p w14:paraId="56AD09A0" w14:textId="46886EDC" w:rsidR="004D36E1" w:rsidRPr="00E51B78" w:rsidRDefault="004D36E1" w:rsidP="00B731DE">
            <w:pPr>
              <w:pStyle w:val="ListParagraph"/>
              <w:numPr>
                <w:ilvl w:val="0"/>
                <w:numId w:val="26"/>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51B78">
              <w:rPr>
                <w:rFonts w:ascii="Arial" w:hAnsi="Arial" w:cs="Arial"/>
                <w:sz w:val="20"/>
                <w:szCs w:val="20"/>
              </w:rPr>
              <w:t>Orphan drugs with voluntary, 340B-like pricing not loaded to purchasing accounts</w:t>
            </w:r>
          </w:p>
        </w:tc>
      </w:tr>
    </w:tbl>
    <w:p w14:paraId="4A9B6268" w14:textId="77777777" w:rsidR="002732CD" w:rsidRPr="00E77B6B" w:rsidRDefault="002732CD" w:rsidP="00C85B1A">
      <w:pPr>
        <w:rPr>
          <w:rFonts w:ascii="Arial" w:hAnsi="Arial" w:cs="Arial"/>
          <w:sz w:val="24"/>
          <w:szCs w:val="24"/>
        </w:rPr>
      </w:pPr>
    </w:p>
    <w:p w14:paraId="27880D8D" w14:textId="1DA1287F" w:rsidR="003427B4" w:rsidRPr="00126B1C" w:rsidRDefault="002665B7" w:rsidP="00E77B6B">
      <w:pPr>
        <w:spacing w:after="240" w:line="240" w:lineRule="auto"/>
        <w:rPr>
          <w:rFonts w:ascii="Arial" w:hAnsi="Arial" w:cs="Arial"/>
        </w:rPr>
      </w:pPr>
      <w:r w:rsidRPr="00126B1C">
        <w:rPr>
          <w:rFonts w:ascii="Arial" w:hAnsi="Arial" w:cs="Arial"/>
        </w:rPr>
        <w:t xml:space="preserve">Many covered entities </w:t>
      </w:r>
      <w:r w:rsidR="00310CD8" w:rsidRPr="00126B1C">
        <w:rPr>
          <w:rFonts w:ascii="Arial" w:hAnsi="Arial" w:cs="Arial"/>
        </w:rPr>
        <w:t xml:space="preserve">find that even after they have set up their replenishment models for inventory management, there are specific areas where medications are not accounted for and therefore </w:t>
      </w:r>
      <w:r w:rsidR="009B3170" w:rsidRPr="00126B1C">
        <w:rPr>
          <w:rFonts w:ascii="Arial" w:hAnsi="Arial" w:cs="Arial"/>
        </w:rPr>
        <w:t xml:space="preserve">the purchases default to </w:t>
      </w:r>
      <w:r w:rsidR="00310CD8" w:rsidRPr="00126B1C">
        <w:rPr>
          <w:rFonts w:ascii="Arial" w:hAnsi="Arial" w:cs="Arial"/>
        </w:rPr>
        <w:t>the WAC account</w:t>
      </w:r>
      <w:r w:rsidRPr="00126B1C">
        <w:rPr>
          <w:rFonts w:ascii="Arial" w:hAnsi="Arial" w:cs="Arial"/>
        </w:rPr>
        <w:t xml:space="preserve"> (i.e., unintentional WAC)</w:t>
      </w:r>
      <w:r w:rsidR="00310CD8" w:rsidRPr="00126B1C">
        <w:rPr>
          <w:rFonts w:ascii="Arial" w:hAnsi="Arial" w:cs="Arial"/>
        </w:rPr>
        <w:t>.</w:t>
      </w:r>
      <w:r w:rsidR="006260D3" w:rsidRPr="00126B1C">
        <w:rPr>
          <w:rFonts w:ascii="Arial" w:hAnsi="Arial" w:cs="Arial"/>
        </w:rPr>
        <w:t xml:space="preserve"> </w:t>
      </w:r>
      <w:r w:rsidR="00E94CBC" w:rsidRPr="00126B1C">
        <w:rPr>
          <w:rFonts w:ascii="Arial" w:hAnsi="Arial" w:cs="Arial"/>
        </w:rPr>
        <w:t xml:space="preserve">Follow the steps below to identify </w:t>
      </w:r>
      <w:r w:rsidR="00225CC5" w:rsidRPr="00126B1C">
        <w:rPr>
          <w:rFonts w:ascii="Arial" w:hAnsi="Arial" w:cs="Arial"/>
        </w:rPr>
        <w:t xml:space="preserve">the products and root causes for your entity’s unintentional WAC. Then </w:t>
      </w:r>
      <w:r w:rsidR="0004394A" w:rsidRPr="00126B1C">
        <w:rPr>
          <w:rFonts w:ascii="Arial" w:hAnsi="Arial" w:cs="Arial"/>
        </w:rPr>
        <w:t xml:space="preserve">review best practices to address the unintentional WAC.  </w:t>
      </w:r>
    </w:p>
    <w:tbl>
      <w:tblPr>
        <w:tblStyle w:val="TableGrid"/>
        <w:tblW w:w="10710" w:type="dxa"/>
        <w:tblInd w:w="85" w:type="dxa"/>
        <w:tblLook w:val="04A0" w:firstRow="1" w:lastRow="0" w:firstColumn="1" w:lastColumn="0" w:noHBand="0" w:noVBand="1"/>
      </w:tblPr>
      <w:tblGrid>
        <w:gridCol w:w="1590"/>
        <w:gridCol w:w="9120"/>
      </w:tblGrid>
      <w:tr w:rsidR="00777EF9" w:rsidRPr="00126B1C" w14:paraId="731728AF" w14:textId="77777777" w:rsidTr="00E51B78">
        <w:trPr>
          <w:trHeight w:val="280"/>
          <w:tblHeader/>
        </w:trPr>
        <w:tc>
          <w:tcPr>
            <w:tcW w:w="10710" w:type="dxa"/>
            <w:gridSpan w:val="2"/>
            <w:tcBorders>
              <w:bottom w:val="single" w:sz="4" w:space="0" w:color="5B9BD5" w:themeColor="accent1"/>
            </w:tcBorders>
            <w:shd w:val="clear" w:color="auto" w:fill="001D60"/>
          </w:tcPr>
          <w:p w14:paraId="55427F36" w14:textId="29F1E1BC" w:rsidR="00777EF9" w:rsidRPr="00126B1C" w:rsidRDefault="00777EF9" w:rsidP="00840A96">
            <w:pPr>
              <w:spacing w:before="60" w:after="60"/>
              <w:jc w:val="center"/>
              <w:rPr>
                <w:rFonts w:ascii="Arial" w:hAnsi="Arial" w:cs="Arial"/>
                <w:b/>
                <w:color w:val="FFFFFF" w:themeColor="background1"/>
              </w:rPr>
            </w:pPr>
            <w:r w:rsidRPr="00126B1C">
              <w:rPr>
                <w:rFonts w:ascii="Arial" w:hAnsi="Arial" w:cs="Arial"/>
                <w:b/>
                <w:color w:val="FFFFFF" w:themeColor="background1"/>
              </w:rPr>
              <w:t xml:space="preserve">Step </w:t>
            </w:r>
            <w:r w:rsidR="00CE6AAD" w:rsidRPr="00126B1C">
              <w:rPr>
                <w:rFonts w:ascii="Arial" w:hAnsi="Arial" w:cs="Arial"/>
                <w:b/>
                <w:color w:val="FFFFFF" w:themeColor="background1"/>
              </w:rPr>
              <w:t>2</w:t>
            </w:r>
            <w:r w:rsidR="00C85B1A" w:rsidRPr="00126B1C">
              <w:rPr>
                <w:rFonts w:ascii="Arial" w:hAnsi="Arial" w:cs="Arial"/>
                <w:b/>
                <w:color w:val="FFFFFF" w:themeColor="background1"/>
              </w:rPr>
              <w:t xml:space="preserve">: </w:t>
            </w:r>
            <w:r w:rsidR="00CE6AAD" w:rsidRPr="00126B1C">
              <w:rPr>
                <w:rFonts w:ascii="Arial" w:hAnsi="Arial" w:cs="Arial"/>
                <w:b/>
                <w:color w:val="FFFFFF" w:themeColor="background1"/>
              </w:rPr>
              <w:t xml:space="preserve">Assess WAC Account </w:t>
            </w:r>
            <w:r w:rsidR="004552CF" w:rsidRPr="00126B1C">
              <w:rPr>
                <w:rFonts w:ascii="Arial" w:hAnsi="Arial" w:cs="Arial"/>
                <w:b/>
                <w:color w:val="FFFFFF" w:themeColor="background1"/>
              </w:rPr>
              <w:t>Purchases</w:t>
            </w:r>
          </w:p>
        </w:tc>
      </w:tr>
      <w:tr w:rsidR="00777EF9" w:rsidRPr="00126B1C" w14:paraId="3273A424" w14:textId="77777777" w:rsidTr="00E51B78">
        <w:tc>
          <w:tcPr>
            <w:tcW w:w="15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F1614D6" w14:textId="7031AF67" w:rsidR="00777EF9" w:rsidRPr="00E51B78" w:rsidRDefault="00777EF9" w:rsidP="00B731DE">
            <w:pPr>
              <w:spacing w:before="60" w:after="60"/>
              <w:contextualSpacing/>
              <w:rPr>
                <w:rFonts w:ascii="Arial" w:hAnsi="Arial" w:cs="Arial"/>
                <w:sz w:val="20"/>
                <w:szCs w:val="20"/>
              </w:rPr>
            </w:pPr>
            <w:r w:rsidRPr="00E51B78">
              <w:rPr>
                <w:rFonts w:ascii="Arial" w:hAnsi="Arial" w:cs="Arial"/>
                <w:sz w:val="20"/>
                <w:szCs w:val="20"/>
              </w:rPr>
              <w:t>2</w:t>
            </w:r>
            <w:r w:rsidR="00A65E7A" w:rsidRPr="00E51B78">
              <w:rPr>
                <w:rFonts w:ascii="Arial" w:hAnsi="Arial" w:cs="Arial"/>
                <w:sz w:val="20"/>
                <w:szCs w:val="20"/>
              </w:rPr>
              <w:t>a</w:t>
            </w:r>
            <w:r w:rsidRPr="00E51B78">
              <w:rPr>
                <w:rFonts w:ascii="Arial" w:hAnsi="Arial" w:cs="Arial"/>
                <w:sz w:val="20"/>
                <w:szCs w:val="20"/>
              </w:rPr>
              <w:t xml:space="preserve">: </w:t>
            </w:r>
            <w:r w:rsidR="00A65E7A" w:rsidRPr="00E51B78">
              <w:rPr>
                <w:rFonts w:ascii="Arial" w:hAnsi="Arial" w:cs="Arial"/>
                <w:sz w:val="20"/>
                <w:szCs w:val="20"/>
              </w:rPr>
              <w:t xml:space="preserve">Track WAC spend over time to develop </w:t>
            </w:r>
            <w:r w:rsidRPr="00E51B78">
              <w:rPr>
                <w:rFonts w:ascii="Arial" w:hAnsi="Arial" w:cs="Arial"/>
                <w:sz w:val="20"/>
                <w:szCs w:val="20"/>
              </w:rPr>
              <w:t>internal benchmarks</w:t>
            </w:r>
          </w:p>
          <w:p w14:paraId="6D2A4A8E" w14:textId="77777777" w:rsidR="00777EF9" w:rsidRPr="00E51B78" w:rsidRDefault="00777EF9" w:rsidP="00B731DE">
            <w:pPr>
              <w:spacing w:before="60" w:after="60"/>
              <w:contextualSpacing/>
              <w:rPr>
                <w:rFonts w:ascii="Arial" w:hAnsi="Arial" w:cs="Arial"/>
                <w:sz w:val="20"/>
                <w:szCs w:val="20"/>
              </w:rPr>
            </w:pPr>
            <w:r w:rsidRPr="00E51B78">
              <w:rPr>
                <w:rFonts w:ascii="Arial" w:hAnsi="Arial" w:cs="Arial"/>
                <w:sz w:val="20"/>
                <w:szCs w:val="20"/>
              </w:rPr>
              <w:t xml:space="preserve"> </w:t>
            </w:r>
          </w:p>
        </w:tc>
        <w:tc>
          <w:tcPr>
            <w:tcW w:w="91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FE2DAE8" w14:textId="46C1F65F" w:rsidR="00305845" w:rsidRPr="00E51B78" w:rsidRDefault="00E30FBC" w:rsidP="00B731DE">
            <w:pPr>
              <w:pStyle w:val="ListParagraph"/>
              <w:numPr>
                <w:ilvl w:val="0"/>
                <w:numId w:val="12"/>
              </w:numPr>
              <w:spacing w:before="60" w:after="60"/>
              <w:ind w:left="346"/>
              <w:rPr>
                <w:rFonts w:ascii="Arial" w:hAnsi="Arial" w:cs="Arial"/>
                <w:sz w:val="20"/>
                <w:szCs w:val="20"/>
              </w:rPr>
            </w:pPr>
            <w:r w:rsidRPr="00E51B78">
              <w:rPr>
                <w:rFonts w:ascii="Arial" w:hAnsi="Arial" w:cs="Arial"/>
                <w:sz w:val="20"/>
                <w:szCs w:val="20"/>
              </w:rPr>
              <w:t xml:space="preserve">Track your entity’s </w:t>
            </w:r>
            <w:r w:rsidR="00287851" w:rsidRPr="00E51B78">
              <w:rPr>
                <w:rFonts w:ascii="Arial" w:hAnsi="Arial" w:cs="Arial"/>
                <w:sz w:val="20"/>
                <w:szCs w:val="20"/>
              </w:rPr>
              <w:t xml:space="preserve">purchase data </w:t>
            </w:r>
            <w:r w:rsidRPr="00E51B78">
              <w:rPr>
                <w:rFonts w:ascii="Arial" w:hAnsi="Arial" w:cs="Arial"/>
                <w:sz w:val="20"/>
                <w:szCs w:val="20"/>
              </w:rPr>
              <w:t>over time to establish internal benchmarks</w:t>
            </w:r>
            <w:r w:rsidR="00DC4582" w:rsidRPr="00E51B78">
              <w:rPr>
                <w:rFonts w:ascii="Arial" w:hAnsi="Arial" w:cs="Arial"/>
                <w:sz w:val="20"/>
                <w:szCs w:val="20"/>
              </w:rPr>
              <w:t>.</w:t>
            </w:r>
          </w:p>
          <w:p w14:paraId="1D64210C" w14:textId="1A1581B1" w:rsidR="00E90D55" w:rsidRPr="00E51B78" w:rsidRDefault="00E90D55"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Include your entity’s </w:t>
            </w:r>
            <w:r w:rsidR="00B7572B" w:rsidRPr="00E51B78">
              <w:rPr>
                <w:rFonts w:ascii="Arial" w:hAnsi="Arial" w:cs="Arial"/>
                <w:sz w:val="20"/>
                <w:szCs w:val="20"/>
              </w:rPr>
              <w:t xml:space="preserve">purchases through your wholesaler as well as purchases made directly </w:t>
            </w:r>
            <w:r w:rsidR="002272DC" w:rsidRPr="00E51B78">
              <w:rPr>
                <w:rFonts w:ascii="Arial" w:hAnsi="Arial" w:cs="Arial"/>
                <w:sz w:val="20"/>
                <w:szCs w:val="20"/>
              </w:rPr>
              <w:t xml:space="preserve">from </w:t>
            </w:r>
            <w:r w:rsidR="00B7572B" w:rsidRPr="00E51B78">
              <w:rPr>
                <w:rFonts w:ascii="Arial" w:hAnsi="Arial" w:cs="Arial"/>
                <w:sz w:val="20"/>
                <w:szCs w:val="20"/>
              </w:rPr>
              <w:t>the manufacturer</w:t>
            </w:r>
            <w:r w:rsidR="00DC4582" w:rsidRPr="00E51B78">
              <w:rPr>
                <w:rFonts w:ascii="Arial" w:hAnsi="Arial" w:cs="Arial"/>
                <w:sz w:val="20"/>
                <w:szCs w:val="20"/>
              </w:rPr>
              <w:t>.</w:t>
            </w:r>
          </w:p>
          <w:p w14:paraId="155D06D1" w14:textId="461D1B59" w:rsidR="00654AF4" w:rsidRPr="00E51B78" w:rsidRDefault="00654AF4" w:rsidP="00B731DE">
            <w:pPr>
              <w:pStyle w:val="ListParagraph"/>
              <w:numPr>
                <w:ilvl w:val="0"/>
                <w:numId w:val="12"/>
              </w:numPr>
              <w:spacing w:before="60" w:after="60"/>
              <w:ind w:left="342"/>
              <w:rPr>
                <w:rFonts w:ascii="Arial" w:hAnsi="Arial" w:cs="Arial"/>
                <w:sz w:val="20"/>
                <w:szCs w:val="20"/>
              </w:rPr>
            </w:pPr>
            <w:r w:rsidRPr="00E51B78">
              <w:rPr>
                <w:rFonts w:ascii="Arial" w:hAnsi="Arial" w:cs="Arial"/>
                <w:sz w:val="20"/>
                <w:szCs w:val="20"/>
              </w:rPr>
              <w:t>Consider including the following data points in your dashboard</w:t>
            </w:r>
            <w:r w:rsidR="008B3F0D" w:rsidRPr="00E51B78">
              <w:rPr>
                <w:rFonts w:ascii="Arial" w:hAnsi="Arial" w:cs="Arial"/>
                <w:sz w:val="20"/>
                <w:szCs w:val="20"/>
              </w:rPr>
              <w:t xml:space="preserve"> and </w:t>
            </w:r>
            <w:r w:rsidR="00996931" w:rsidRPr="00E51B78">
              <w:rPr>
                <w:rFonts w:ascii="Arial" w:hAnsi="Arial" w:cs="Arial"/>
                <w:sz w:val="20"/>
                <w:szCs w:val="20"/>
              </w:rPr>
              <w:t xml:space="preserve">build in </w:t>
            </w:r>
            <w:r w:rsidR="008B3F0D" w:rsidRPr="00E51B78">
              <w:rPr>
                <w:rFonts w:ascii="Arial" w:hAnsi="Arial" w:cs="Arial"/>
                <w:sz w:val="20"/>
                <w:szCs w:val="20"/>
              </w:rPr>
              <w:t xml:space="preserve">the ability to filter by </w:t>
            </w:r>
            <w:r w:rsidR="0043678F" w:rsidRPr="00E51B78">
              <w:rPr>
                <w:rFonts w:ascii="Arial" w:hAnsi="Arial" w:cs="Arial"/>
                <w:sz w:val="20"/>
                <w:szCs w:val="20"/>
              </w:rPr>
              <w:t>various attributes (</w:t>
            </w:r>
            <w:r w:rsidR="00B34D94" w:rsidRPr="00E51B78">
              <w:rPr>
                <w:rFonts w:ascii="Arial" w:hAnsi="Arial" w:cs="Arial"/>
                <w:sz w:val="20"/>
                <w:szCs w:val="20"/>
              </w:rPr>
              <w:t xml:space="preserve">e.g., </w:t>
            </w:r>
            <w:r w:rsidR="00011D87" w:rsidRPr="00E51B78">
              <w:rPr>
                <w:rFonts w:ascii="Arial" w:hAnsi="Arial" w:cs="Arial"/>
                <w:sz w:val="20"/>
                <w:szCs w:val="20"/>
              </w:rPr>
              <w:t xml:space="preserve">timeframe, </w:t>
            </w:r>
            <w:r w:rsidR="0043678F" w:rsidRPr="00E51B78">
              <w:rPr>
                <w:rFonts w:ascii="Arial" w:hAnsi="Arial" w:cs="Arial"/>
                <w:sz w:val="20"/>
                <w:szCs w:val="20"/>
              </w:rPr>
              <w:t>wholesaler account name/</w:t>
            </w:r>
            <w:r w:rsidR="00011D87" w:rsidRPr="00E51B78">
              <w:rPr>
                <w:rFonts w:ascii="Arial" w:hAnsi="Arial" w:cs="Arial"/>
                <w:sz w:val="20"/>
                <w:szCs w:val="20"/>
              </w:rPr>
              <w:t>number</w:t>
            </w:r>
            <w:r w:rsidR="0043678F" w:rsidRPr="00E51B78">
              <w:rPr>
                <w:rFonts w:ascii="Arial" w:hAnsi="Arial" w:cs="Arial"/>
                <w:sz w:val="20"/>
                <w:szCs w:val="20"/>
              </w:rPr>
              <w:t>,</w:t>
            </w:r>
            <w:r w:rsidR="00011D87" w:rsidRPr="00E51B78">
              <w:rPr>
                <w:rFonts w:ascii="Arial" w:hAnsi="Arial" w:cs="Arial"/>
                <w:sz w:val="20"/>
                <w:szCs w:val="20"/>
              </w:rPr>
              <w:t xml:space="preserve"> product name, NDC</w:t>
            </w:r>
            <w:r w:rsidR="002A29BC" w:rsidRPr="00E51B78">
              <w:rPr>
                <w:rFonts w:ascii="Arial" w:hAnsi="Arial" w:cs="Arial"/>
                <w:sz w:val="20"/>
                <w:szCs w:val="20"/>
              </w:rPr>
              <w:t xml:space="preserve">, </w:t>
            </w:r>
            <w:r w:rsidR="00B34D94" w:rsidRPr="00E51B78">
              <w:rPr>
                <w:rFonts w:ascii="Arial" w:hAnsi="Arial" w:cs="Arial"/>
                <w:sz w:val="20"/>
                <w:szCs w:val="20"/>
              </w:rPr>
              <w:t>AHFS therapeutic category)</w:t>
            </w:r>
            <w:r w:rsidR="00DC4582" w:rsidRPr="00E51B78">
              <w:rPr>
                <w:rFonts w:ascii="Arial" w:hAnsi="Arial" w:cs="Arial"/>
                <w:sz w:val="20"/>
                <w:szCs w:val="20"/>
              </w:rPr>
              <w:t>:</w:t>
            </w:r>
            <w:r w:rsidR="00B34D94" w:rsidRPr="00E51B78">
              <w:rPr>
                <w:rFonts w:ascii="Arial" w:hAnsi="Arial" w:cs="Arial"/>
                <w:sz w:val="20"/>
                <w:szCs w:val="20"/>
              </w:rPr>
              <w:t xml:space="preserve"> </w:t>
            </w:r>
          </w:p>
          <w:p w14:paraId="2ACC2A4C" w14:textId="1948E3E8" w:rsidR="006F68B4" w:rsidRPr="00E51B78" w:rsidRDefault="006F68B4"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Total </w:t>
            </w:r>
            <w:proofErr w:type="gramStart"/>
            <w:r w:rsidR="00AC4484" w:rsidRPr="00E51B78">
              <w:rPr>
                <w:rFonts w:ascii="Arial" w:hAnsi="Arial" w:cs="Arial"/>
                <w:sz w:val="20"/>
                <w:szCs w:val="20"/>
              </w:rPr>
              <w:t>s</w:t>
            </w:r>
            <w:r w:rsidRPr="00E51B78">
              <w:rPr>
                <w:rFonts w:ascii="Arial" w:hAnsi="Arial" w:cs="Arial"/>
                <w:sz w:val="20"/>
                <w:szCs w:val="20"/>
              </w:rPr>
              <w:t>pend</w:t>
            </w:r>
            <w:proofErr w:type="gramEnd"/>
          </w:p>
          <w:p w14:paraId="212DEF34" w14:textId="28B130C7" w:rsidR="00654AF4" w:rsidRPr="00E51B78" w:rsidRDefault="00654AF4"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340B </w:t>
            </w:r>
            <w:r w:rsidR="00AC4484" w:rsidRPr="00E51B78">
              <w:rPr>
                <w:rFonts w:ascii="Arial" w:hAnsi="Arial" w:cs="Arial"/>
                <w:sz w:val="20"/>
                <w:szCs w:val="20"/>
              </w:rPr>
              <w:t>a</w:t>
            </w:r>
            <w:r w:rsidRPr="00E51B78">
              <w:rPr>
                <w:rFonts w:ascii="Arial" w:hAnsi="Arial" w:cs="Arial"/>
                <w:sz w:val="20"/>
                <w:szCs w:val="20"/>
              </w:rPr>
              <w:t xml:space="preserve">ccount </w:t>
            </w:r>
            <w:r w:rsidR="00AC4484" w:rsidRPr="00E51B78">
              <w:rPr>
                <w:rFonts w:ascii="Arial" w:hAnsi="Arial" w:cs="Arial"/>
                <w:sz w:val="20"/>
                <w:szCs w:val="20"/>
              </w:rPr>
              <w:t>s</w:t>
            </w:r>
            <w:r w:rsidRPr="00E51B78">
              <w:rPr>
                <w:rFonts w:ascii="Arial" w:hAnsi="Arial" w:cs="Arial"/>
                <w:sz w:val="20"/>
                <w:szCs w:val="20"/>
              </w:rPr>
              <w:t>pend</w:t>
            </w:r>
            <w:r w:rsidR="006F68B4" w:rsidRPr="00E51B78">
              <w:rPr>
                <w:rFonts w:ascii="Arial" w:hAnsi="Arial" w:cs="Arial"/>
                <w:sz w:val="20"/>
                <w:szCs w:val="20"/>
              </w:rPr>
              <w:t xml:space="preserve"> </w:t>
            </w:r>
          </w:p>
          <w:p w14:paraId="2C44746C" w14:textId="4320FE92" w:rsidR="006F68B4" w:rsidRPr="00E51B78" w:rsidRDefault="006F68B4"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340B </w:t>
            </w:r>
            <w:r w:rsidR="00AC4484" w:rsidRPr="00E51B78">
              <w:rPr>
                <w:rFonts w:ascii="Arial" w:hAnsi="Arial" w:cs="Arial"/>
                <w:sz w:val="20"/>
                <w:szCs w:val="20"/>
              </w:rPr>
              <w:t>a</w:t>
            </w:r>
            <w:r w:rsidR="008B3F0D" w:rsidRPr="00E51B78">
              <w:rPr>
                <w:rFonts w:ascii="Arial" w:hAnsi="Arial" w:cs="Arial"/>
                <w:sz w:val="20"/>
                <w:szCs w:val="20"/>
              </w:rPr>
              <w:t xml:space="preserve">ccount </w:t>
            </w:r>
            <w:r w:rsidR="00AC4484" w:rsidRPr="00E51B78">
              <w:rPr>
                <w:rFonts w:ascii="Arial" w:hAnsi="Arial" w:cs="Arial"/>
                <w:sz w:val="20"/>
                <w:szCs w:val="20"/>
              </w:rPr>
              <w:t>s</w:t>
            </w:r>
            <w:r w:rsidR="008B3F0D" w:rsidRPr="00E51B78">
              <w:rPr>
                <w:rFonts w:ascii="Arial" w:hAnsi="Arial" w:cs="Arial"/>
                <w:sz w:val="20"/>
                <w:szCs w:val="20"/>
              </w:rPr>
              <w:t xml:space="preserve">pend </w:t>
            </w:r>
            <w:r w:rsidRPr="00E51B78">
              <w:rPr>
                <w:rFonts w:ascii="Arial" w:hAnsi="Arial" w:cs="Arial"/>
                <w:sz w:val="20"/>
                <w:szCs w:val="20"/>
              </w:rPr>
              <w:t xml:space="preserve">as a % of </w:t>
            </w:r>
            <w:r w:rsidR="00AC4484" w:rsidRPr="00E51B78">
              <w:rPr>
                <w:rFonts w:ascii="Arial" w:hAnsi="Arial" w:cs="Arial"/>
                <w:sz w:val="20"/>
                <w:szCs w:val="20"/>
              </w:rPr>
              <w:t>t</w:t>
            </w:r>
            <w:r w:rsidRPr="00E51B78">
              <w:rPr>
                <w:rFonts w:ascii="Arial" w:hAnsi="Arial" w:cs="Arial"/>
                <w:sz w:val="20"/>
                <w:szCs w:val="20"/>
              </w:rPr>
              <w:t xml:space="preserve">otal </w:t>
            </w:r>
            <w:r w:rsidR="00AC4484" w:rsidRPr="00E51B78">
              <w:rPr>
                <w:rFonts w:ascii="Arial" w:hAnsi="Arial" w:cs="Arial"/>
                <w:sz w:val="20"/>
                <w:szCs w:val="20"/>
              </w:rPr>
              <w:t>s</w:t>
            </w:r>
            <w:r w:rsidRPr="00E51B78">
              <w:rPr>
                <w:rFonts w:ascii="Arial" w:hAnsi="Arial" w:cs="Arial"/>
                <w:sz w:val="20"/>
                <w:szCs w:val="20"/>
              </w:rPr>
              <w:t xml:space="preserve">pend </w:t>
            </w:r>
          </w:p>
          <w:p w14:paraId="32974C1D" w14:textId="30A33E28" w:rsidR="00654AF4" w:rsidRPr="00E51B78" w:rsidRDefault="00654AF4"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GPO </w:t>
            </w:r>
            <w:r w:rsidR="00AC4484" w:rsidRPr="00E51B78">
              <w:rPr>
                <w:rFonts w:ascii="Arial" w:hAnsi="Arial" w:cs="Arial"/>
                <w:sz w:val="20"/>
                <w:szCs w:val="20"/>
              </w:rPr>
              <w:t>a</w:t>
            </w:r>
            <w:r w:rsidRPr="00E51B78">
              <w:rPr>
                <w:rFonts w:ascii="Arial" w:hAnsi="Arial" w:cs="Arial"/>
                <w:sz w:val="20"/>
                <w:szCs w:val="20"/>
              </w:rPr>
              <w:t xml:space="preserve">ccount </w:t>
            </w:r>
            <w:r w:rsidR="00AC4484" w:rsidRPr="00E51B78">
              <w:rPr>
                <w:rFonts w:ascii="Arial" w:hAnsi="Arial" w:cs="Arial"/>
                <w:sz w:val="20"/>
                <w:szCs w:val="20"/>
              </w:rPr>
              <w:t>s</w:t>
            </w:r>
            <w:r w:rsidRPr="00E51B78">
              <w:rPr>
                <w:rFonts w:ascii="Arial" w:hAnsi="Arial" w:cs="Arial"/>
                <w:sz w:val="20"/>
                <w:szCs w:val="20"/>
              </w:rPr>
              <w:t>pend</w:t>
            </w:r>
          </w:p>
          <w:p w14:paraId="44656976" w14:textId="4DADD25A" w:rsidR="008B3F0D" w:rsidRPr="00E51B78" w:rsidRDefault="008B3F0D"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GPO </w:t>
            </w:r>
            <w:r w:rsidR="00AC4484" w:rsidRPr="00E51B78">
              <w:rPr>
                <w:rFonts w:ascii="Arial" w:hAnsi="Arial" w:cs="Arial"/>
                <w:sz w:val="20"/>
                <w:szCs w:val="20"/>
              </w:rPr>
              <w:t>a</w:t>
            </w:r>
            <w:r w:rsidRPr="00E51B78">
              <w:rPr>
                <w:rFonts w:ascii="Arial" w:hAnsi="Arial" w:cs="Arial"/>
                <w:sz w:val="20"/>
                <w:szCs w:val="20"/>
              </w:rPr>
              <w:t xml:space="preserve">ccount </w:t>
            </w:r>
            <w:r w:rsidR="00AC4484" w:rsidRPr="00E51B78">
              <w:rPr>
                <w:rFonts w:ascii="Arial" w:hAnsi="Arial" w:cs="Arial"/>
                <w:sz w:val="20"/>
                <w:szCs w:val="20"/>
              </w:rPr>
              <w:t>s</w:t>
            </w:r>
            <w:r w:rsidRPr="00E51B78">
              <w:rPr>
                <w:rFonts w:ascii="Arial" w:hAnsi="Arial" w:cs="Arial"/>
                <w:sz w:val="20"/>
                <w:szCs w:val="20"/>
              </w:rPr>
              <w:t xml:space="preserve">pend as a % of </w:t>
            </w:r>
            <w:r w:rsidR="00AC4484" w:rsidRPr="00E51B78">
              <w:rPr>
                <w:rFonts w:ascii="Arial" w:hAnsi="Arial" w:cs="Arial"/>
                <w:sz w:val="20"/>
                <w:szCs w:val="20"/>
              </w:rPr>
              <w:t>t</w:t>
            </w:r>
            <w:r w:rsidRPr="00E51B78">
              <w:rPr>
                <w:rFonts w:ascii="Arial" w:hAnsi="Arial" w:cs="Arial"/>
                <w:sz w:val="20"/>
                <w:szCs w:val="20"/>
              </w:rPr>
              <w:t xml:space="preserve">otal </w:t>
            </w:r>
            <w:r w:rsidR="00AC4484" w:rsidRPr="00E51B78">
              <w:rPr>
                <w:rFonts w:ascii="Arial" w:hAnsi="Arial" w:cs="Arial"/>
                <w:sz w:val="20"/>
                <w:szCs w:val="20"/>
              </w:rPr>
              <w:t>s</w:t>
            </w:r>
            <w:r w:rsidRPr="00E51B78">
              <w:rPr>
                <w:rFonts w:ascii="Arial" w:hAnsi="Arial" w:cs="Arial"/>
                <w:sz w:val="20"/>
                <w:szCs w:val="20"/>
              </w:rPr>
              <w:t>pend</w:t>
            </w:r>
          </w:p>
          <w:p w14:paraId="66C8DDEF" w14:textId="4A501D35" w:rsidR="00654AF4" w:rsidRPr="00E51B78" w:rsidRDefault="00654AF4"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WAC </w:t>
            </w:r>
            <w:r w:rsidR="00AC4484" w:rsidRPr="00E51B78">
              <w:rPr>
                <w:rFonts w:ascii="Arial" w:hAnsi="Arial" w:cs="Arial"/>
                <w:sz w:val="20"/>
                <w:szCs w:val="20"/>
              </w:rPr>
              <w:t>a</w:t>
            </w:r>
            <w:r w:rsidRPr="00E51B78">
              <w:rPr>
                <w:rFonts w:ascii="Arial" w:hAnsi="Arial" w:cs="Arial"/>
                <w:sz w:val="20"/>
                <w:szCs w:val="20"/>
              </w:rPr>
              <w:t xml:space="preserve">ccount </w:t>
            </w:r>
            <w:r w:rsidR="00AC4484" w:rsidRPr="00E51B78">
              <w:rPr>
                <w:rFonts w:ascii="Arial" w:hAnsi="Arial" w:cs="Arial"/>
                <w:sz w:val="20"/>
                <w:szCs w:val="20"/>
              </w:rPr>
              <w:t>s</w:t>
            </w:r>
            <w:r w:rsidRPr="00E51B78">
              <w:rPr>
                <w:rFonts w:ascii="Arial" w:hAnsi="Arial" w:cs="Arial"/>
                <w:sz w:val="20"/>
                <w:szCs w:val="20"/>
              </w:rPr>
              <w:t xml:space="preserve">pend </w:t>
            </w:r>
          </w:p>
          <w:p w14:paraId="096F78A8" w14:textId="4C9BA7BA" w:rsidR="008B3F0D" w:rsidRPr="00E51B78" w:rsidRDefault="008B3F0D"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WAC </w:t>
            </w:r>
            <w:r w:rsidR="00AC4484" w:rsidRPr="00E51B78">
              <w:rPr>
                <w:rFonts w:ascii="Arial" w:hAnsi="Arial" w:cs="Arial"/>
                <w:sz w:val="20"/>
                <w:szCs w:val="20"/>
              </w:rPr>
              <w:t>a</w:t>
            </w:r>
            <w:r w:rsidRPr="00E51B78">
              <w:rPr>
                <w:rFonts w:ascii="Arial" w:hAnsi="Arial" w:cs="Arial"/>
                <w:sz w:val="20"/>
                <w:szCs w:val="20"/>
              </w:rPr>
              <w:t xml:space="preserve">ccount </w:t>
            </w:r>
            <w:r w:rsidR="00AC4484" w:rsidRPr="00E51B78">
              <w:rPr>
                <w:rFonts w:ascii="Arial" w:hAnsi="Arial" w:cs="Arial"/>
                <w:sz w:val="20"/>
                <w:szCs w:val="20"/>
              </w:rPr>
              <w:t>s</w:t>
            </w:r>
            <w:r w:rsidRPr="00E51B78">
              <w:rPr>
                <w:rFonts w:ascii="Arial" w:hAnsi="Arial" w:cs="Arial"/>
                <w:sz w:val="20"/>
                <w:szCs w:val="20"/>
              </w:rPr>
              <w:t xml:space="preserve">pend as a % of </w:t>
            </w:r>
            <w:r w:rsidR="00AC4484" w:rsidRPr="00E51B78">
              <w:rPr>
                <w:rFonts w:ascii="Arial" w:hAnsi="Arial" w:cs="Arial"/>
                <w:sz w:val="20"/>
                <w:szCs w:val="20"/>
              </w:rPr>
              <w:t>t</w:t>
            </w:r>
            <w:r w:rsidRPr="00E51B78">
              <w:rPr>
                <w:rFonts w:ascii="Arial" w:hAnsi="Arial" w:cs="Arial"/>
                <w:sz w:val="20"/>
                <w:szCs w:val="20"/>
              </w:rPr>
              <w:t xml:space="preserve">otal </w:t>
            </w:r>
            <w:r w:rsidR="00AC4484" w:rsidRPr="00E51B78">
              <w:rPr>
                <w:rFonts w:ascii="Arial" w:hAnsi="Arial" w:cs="Arial"/>
                <w:sz w:val="20"/>
                <w:szCs w:val="20"/>
              </w:rPr>
              <w:t>s</w:t>
            </w:r>
            <w:r w:rsidRPr="00E51B78">
              <w:rPr>
                <w:rFonts w:ascii="Arial" w:hAnsi="Arial" w:cs="Arial"/>
                <w:sz w:val="20"/>
                <w:szCs w:val="20"/>
              </w:rPr>
              <w:t>pend</w:t>
            </w:r>
          </w:p>
          <w:p w14:paraId="7191B564" w14:textId="7435BEA0" w:rsidR="003B5BD2" w:rsidRPr="00E51B78" w:rsidRDefault="00305845" w:rsidP="00B731DE">
            <w:pPr>
              <w:pStyle w:val="ListParagraph"/>
              <w:numPr>
                <w:ilvl w:val="0"/>
                <w:numId w:val="12"/>
              </w:numPr>
              <w:spacing w:before="60" w:after="60"/>
              <w:contextualSpacing w:val="0"/>
              <w:rPr>
                <w:rFonts w:ascii="Arial" w:hAnsi="Arial" w:cs="Arial"/>
                <w:sz w:val="20"/>
                <w:szCs w:val="20"/>
              </w:rPr>
            </w:pPr>
            <w:r w:rsidRPr="00E51B78">
              <w:rPr>
                <w:rFonts w:ascii="Arial" w:hAnsi="Arial" w:cs="Arial"/>
                <w:sz w:val="20"/>
                <w:szCs w:val="20"/>
              </w:rPr>
              <w:t xml:space="preserve">Once </w:t>
            </w:r>
            <w:r w:rsidR="00407946" w:rsidRPr="00E51B78">
              <w:rPr>
                <w:rFonts w:ascii="Arial" w:hAnsi="Arial" w:cs="Arial"/>
                <w:sz w:val="20"/>
                <w:szCs w:val="20"/>
              </w:rPr>
              <w:t xml:space="preserve">you have </w:t>
            </w:r>
            <w:r w:rsidR="00287851" w:rsidRPr="00E51B78">
              <w:rPr>
                <w:rFonts w:ascii="Arial" w:hAnsi="Arial" w:cs="Arial"/>
                <w:sz w:val="20"/>
                <w:szCs w:val="20"/>
              </w:rPr>
              <w:t>tracked your WAC accoun</w:t>
            </w:r>
            <w:r w:rsidR="00FA6EC2" w:rsidRPr="00E51B78">
              <w:rPr>
                <w:rFonts w:ascii="Arial" w:hAnsi="Arial" w:cs="Arial"/>
                <w:sz w:val="20"/>
                <w:szCs w:val="20"/>
              </w:rPr>
              <w:t xml:space="preserve">t </w:t>
            </w:r>
            <w:r w:rsidR="00407946" w:rsidRPr="00E51B78">
              <w:rPr>
                <w:rFonts w:ascii="Arial" w:hAnsi="Arial" w:cs="Arial"/>
                <w:sz w:val="20"/>
                <w:szCs w:val="20"/>
              </w:rPr>
              <w:t xml:space="preserve">data for </w:t>
            </w:r>
            <w:proofErr w:type="gramStart"/>
            <w:r w:rsidR="00A97A3B" w:rsidRPr="00E51B78">
              <w:rPr>
                <w:rFonts w:ascii="Arial" w:hAnsi="Arial" w:cs="Arial"/>
                <w:sz w:val="20"/>
                <w:szCs w:val="20"/>
              </w:rPr>
              <w:t>a period of time</w:t>
            </w:r>
            <w:proofErr w:type="gramEnd"/>
            <w:r w:rsidR="00407946" w:rsidRPr="00E51B78">
              <w:rPr>
                <w:rFonts w:ascii="Arial" w:hAnsi="Arial" w:cs="Arial"/>
                <w:sz w:val="20"/>
                <w:szCs w:val="20"/>
              </w:rPr>
              <w:t xml:space="preserve">, you can determine your entity’s “normal” WAC </w:t>
            </w:r>
            <w:r w:rsidR="00261D06" w:rsidRPr="00E51B78">
              <w:rPr>
                <w:rFonts w:ascii="Arial" w:hAnsi="Arial" w:cs="Arial"/>
                <w:sz w:val="20"/>
                <w:szCs w:val="20"/>
              </w:rPr>
              <w:t xml:space="preserve">account </w:t>
            </w:r>
            <w:r w:rsidR="00407946" w:rsidRPr="00E51B78">
              <w:rPr>
                <w:rFonts w:ascii="Arial" w:hAnsi="Arial" w:cs="Arial"/>
                <w:sz w:val="20"/>
                <w:szCs w:val="20"/>
              </w:rPr>
              <w:t xml:space="preserve">spend as a % of total </w:t>
            </w:r>
            <w:r w:rsidR="00261D06" w:rsidRPr="00E51B78">
              <w:rPr>
                <w:rFonts w:ascii="Arial" w:hAnsi="Arial" w:cs="Arial"/>
                <w:sz w:val="20"/>
                <w:szCs w:val="20"/>
              </w:rPr>
              <w:t>spend</w:t>
            </w:r>
            <w:r w:rsidR="00DC4582" w:rsidRPr="00E51B78">
              <w:rPr>
                <w:rFonts w:ascii="Arial" w:hAnsi="Arial" w:cs="Arial"/>
                <w:sz w:val="20"/>
                <w:szCs w:val="20"/>
              </w:rPr>
              <w:t>.</w:t>
            </w:r>
          </w:p>
          <w:p w14:paraId="29F56837" w14:textId="10B36155" w:rsidR="00344402" w:rsidRPr="00E51B78" w:rsidRDefault="00344402" w:rsidP="00B731DE">
            <w:pPr>
              <w:pStyle w:val="ListParagraph"/>
              <w:numPr>
                <w:ilvl w:val="0"/>
                <w:numId w:val="12"/>
              </w:numPr>
              <w:spacing w:before="60" w:after="60" w:line="259" w:lineRule="auto"/>
              <w:rPr>
                <w:rFonts w:ascii="Arial" w:hAnsi="Arial" w:cs="Arial"/>
                <w:sz w:val="20"/>
                <w:szCs w:val="20"/>
              </w:rPr>
            </w:pPr>
            <w:r w:rsidRPr="00E51B78">
              <w:rPr>
                <w:rFonts w:ascii="Arial" w:hAnsi="Arial" w:cs="Arial"/>
                <w:sz w:val="20"/>
                <w:szCs w:val="20"/>
              </w:rPr>
              <w:lastRenderedPageBreak/>
              <w:t>Consider using principles of statistical process control to identify significant changes to your WAC account spend (i.e., “special cause” variation) to avoid reacting to normal changes (i.e., “common cause” variation).</w:t>
            </w:r>
          </w:p>
          <w:p w14:paraId="20063095" w14:textId="6B4B554E" w:rsidR="00344402" w:rsidRPr="00E51B78" w:rsidRDefault="00344402" w:rsidP="00B731DE">
            <w:pPr>
              <w:pStyle w:val="ListParagraph"/>
              <w:numPr>
                <w:ilvl w:val="0"/>
                <w:numId w:val="12"/>
              </w:numPr>
              <w:spacing w:before="60" w:after="60" w:line="259" w:lineRule="auto"/>
              <w:rPr>
                <w:rFonts w:ascii="Arial" w:hAnsi="Arial" w:cs="Arial"/>
                <w:sz w:val="20"/>
                <w:szCs w:val="20"/>
              </w:rPr>
            </w:pPr>
            <w:r w:rsidRPr="00E51B78">
              <w:rPr>
                <w:rFonts w:ascii="Arial" w:hAnsi="Arial" w:cs="Arial"/>
                <w:sz w:val="20"/>
                <w:szCs w:val="20"/>
              </w:rPr>
              <w:t>Entities should avoid trying to benchmark externally because sub-WAC spend can vary greatly from site to site based on 340B program implementation and examples of factors that can affect this include:</w:t>
            </w:r>
          </w:p>
          <w:p w14:paraId="441490CA" w14:textId="14F41386" w:rsidR="00344402" w:rsidRPr="00E51B78" w:rsidRDefault="00344402" w:rsidP="00B731DE">
            <w:pPr>
              <w:pStyle w:val="ListParagraph"/>
              <w:numPr>
                <w:ilvl w:val="1"/>
                <w:numId w:val="12"/>
              </w:numPr>
              <w:spacing w:before="60" w:after="60" w:line="259" w:lineRule="auto"/>
              <w:rPr>
                <w:rFonts w:ascii="Arial" w:hAnsi="Arial" w:cs="Arial"/>
                <w:sz w:val="20"/>
                <w:szCs w:val="20"/>
              </w:rPr>
            </w:pPr>
            <w:r w:rsidRPr="00E51B78">
              <w:rPr>
                <w:rFonts w:ascii="Arial" w:hAnsi="Arial" w:cs="Arial"/>
                <w:sz w:val="20"/>
                <w:szCs w:val="20"/>
              </w:rPr>
              <w:t>Carve-in/out decisions and Medicaid population</w:t>
            </w:r>
          </w:p>
          <w:p w14:paraId="729DC9C1" w14:textId="1C35A222" w:rsidR="00344402" w:rsidRPr="00E51B78" w:rsidRDefault="00344402" w:rsidP="00B731DE">
            <w:pPr>
              <w:pStyle w:val="ListParagraph"/>
              <w:numPr>
                <w:ilvl w:val="1"/>
                <w:numId w:val="12"/>
              </w:numPr>
              <w:spacing w:before="60" w:after="60" w:line="259" w:lineRule="auto"/>
              <w:rPr>
                <w:rFonts w:ascii="Arial" w:hAnsi="Arial" w:cs="Arial"/>
                <w:sz w:val="20"/>
                <w:szCs w:val="20"/>
              </w:rPr>
            </w:pPr>
            <w:r w:rsidRPr="00E51B78">
              <w:rPr>
                <w:rFonts w:ascii="Arial" w:hAnsi="Arial" w:cs="Arial"/>
                <w:sz w:val="20"/>
                <w:szCs w:val="20"/>
              </w:rPr>
              <w:t>Utilization of contract pharmacies that have no corresponding sub-WAC purchases</w:t>
            </w:r>
          </w:p>
          <w:p w14:paraId="5FEBEB67" w14:textId="3C68AF58" w:rsidR="00344402" w:rsidRPr="00E51B78" w:rsidRDefault="00344402" w:rsidP="00B731DE">
            <w:pPr>
              <w:pStyle w:val="ListParagraph"/>
              <w:numPr>
                <w:ilvl w:val="1"/>
                <w:numId w:val="12"/>
              </w:numPr>
              <w:spacing w:before="60" w:after="60" w:line="259" w:lineRule="auto"/>
              <w:rPr>
                <w:rFonts w:ascii="Arial" w:hAnsi="Arial" w:cs="Arial"/>
                <w:sz w:val="20"/>
                <w:szCs w:val="20"/>
              </w:rPr>
            </w:pPr>
            <w:r w:rsidRPr="00E51B78">
              <w:rPr>
                <w:rFonts w:ascii="Arial" w:hAnsi="Arial" w:cs="Arial"/>
                <w:sz w:val="20"/>
                <w:szCs w:val="20"/>
              </w:rPr>
              <w:t>Entity-owned pharmacies that only serve 340B eligible patients</w:t>
            </w:r>
          </w:p>
          <w:p w14:paraId="17E9686A" w14:textId="57F79607" w:rsidR="00344402" w:rsidRPr="00E51B78" w:rsidRDefault="00344402" w:rsidP="00B731DE">
            <w:pPr>
              <w:pStyle w:val="ListParagraph"/>
              <w:numPr>
                <w:ilvl w:val="1"/>
                <w:numId w:val="12"/>
              </w:numPr>
              <w:spacing w:before="60" w:after="60" w:line="259" w:lineRule="auto"/>
              <w:rPr>
                <w:rFonts w:ascii="Arial" w:hAnsi="Arial" w:cs="Arial"/>
                <w:sz w:val="20"/>
                <w:szCs w:val="20"/>
              </w:rPr>
            </w:pPr>
            <w:r w:rsidRPr="00E51B78">
              <w:rPr>
                <w:rFonts w:ascii="Arial" w:hAnsi="Arial" w:cs="Arial"/>
                <w:sz w:val="20"/>
                <w:szCs w:val="20"/>
              </w:rPr>
              <w:t>340B-only inventories such as offsite infusion centers</w:t>
            </w:r>
          </w:p>
          <w:p w14:paraId="5043734B" w14:textId="486DE153" w:rsidR="00344402" w:rsidRPr="00E51B78" w:rsidRDefault="00344402" w:rsidP="00B731DE">
            <w:pPr>
              <w:pStyle w:val="ListParagraph"/>
              <w:numPr>
                <w:ilvl w:val="1"/>
                <w:numId w:val="12"/>
              </w:numPr>
              <w:spacing w:before="60" w:after="60" w:line="259" w:lineRule="auto"/>
              <w:rPr>
                <w:rFonts w:ascii="Arial" w:hAnsi="Arial" w:cs="Arial"/>
                <w:sz w:val="20"/>
                <w:szCs w:val="20"/>
              </w:rPr>
            </w:pPr>
            <w:r w:rsidRPr="00E51B78">
              <w:rPr>
                <w:rFonts w:ascii="Arial" w:hAnsi="Arial" w:cs="Arial"/>
                <w:sz w:val="20"/>
                <w:szCs w:val="20"/>
              </w:rPr>
              <w:t>Intentional sub-WAC spend due to compliance mitigation or contract price availability</w:t>
            </w:r>
          </w:p>
          <w:p w14:paraId="78DB07CC" w14:textId="38FFDB51" w:rsidR="00344402" w:rsidRPr="00E51B78" w:rsidRDefault="00344402" w:rsidP="00B731DE">
            <w:pPr>
              <w:pStyle w:val="ListParagraph"/>
              <w:numPr>
                <w:ilvl w:val="1"/>
                <w:numId w:val="12"/>
              </w:numPr>
              <w:spacing w:before="60" w:after="60" w:line="259" w:lineRule="auto"/>
              <w:rPr>
                <w:rFonts w:ascii="Arial" w:hAnsi="Arial" w:cs="Arial"/>
                <w:sz w:val="20"/>
                <w:szCs w:val="20"/>
              </w:rPr>
            </w:pPr>
            <w:r w:rsidRPr="00E51B78">
              <w:rPr>
                <w:rFonts w:ascii="Arial" w:hAnsi="Arial" w:cs="Arial"/>
                <w:sz w:val="20"/>
                <w:szCs w:val="20"/>
              </w:rPr>
              <w:t>Split billing software settings</w:t>
            </w:r>
          </w:p>
          <w:p w14:paraId="6B0824AB" w14:textId="24AC533C" w:rsidR="00777EF9" w:rsidRPr="00E51B78" w:rsidRDefault="00344402" w:rsidP="00B731DE">
            <w:pPr>
              <w:pStyle w:val="ListParagraph"/>
              <w:numPr>
                <w:ilvl w:val="1"/>
                <w:numId w:val="12"/>
              </w:numPr>
              <w:spacing w:before="60" w:after="60"/>
              <w:ind w:right="43"/>
              <w:rPr>
                <w:rFonts w:ascii="Arial" w:hAnsi="Arial" w:cs="Arial"/>
                <w:sz w:val="20"/>
                <w:szCs w:val="20"/>
              </w:rPr>
            </w:pPr>
            <w:r w:rsidRPr="00E51B78">
              <w:rPr>
                <w:rFonts w:ascii="Arial" w:hAnsi="Arial" w:cs="Arial"/>
                <w:sz w:val="20"/>
                <w:szCs w:val="20"/>
              </w:rPr>
              <w:t>Intentional capture of ineligible patients (e.g., as service for employees)</w:t>
            </w:r>
          </w:p>
        </w:tc>
      </w:tr>
      <w:tr w:rsidR="00777EF9" w14:paraId="1BCE4B39" w14:textId="77777777" w:rsidTr="00E51B78">
        <w:tc>
          <w:tcPr>
            <w:tcW w:w="15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C54F087" w14:textId="4C40D12B" w:rsidR="00777EF9" w:rsidRPr="00E51B78" w:rsidRDefault="00E66DB0" w:rsidP="00B731DE">
            <w:pPr>
              <w:spacing w:before="60" w:after="60"/>
              <w:rPr>
                <w:rFonts w:ascii="Arial" w:hAnsi="Arial" w:cs="Arial"/>
                <w:sz w:val="20"/>
                <w:szCs w:val="20"/>
              </w:rPr>
            </w:pPr>
            <w:r w:rsidRPr="00E51B78">
              <w:rPr>
                <w:rFonts w:ascii="Arial" w:hAnsi="Arial" w:cs="Arial"/>
                <w:sz w:val="20"/>
                <w:szCs w:val="20"/>
              </w:rPr>
              <w:lastRenderedPageBreak/>
              <w:t xml:space="preserve">2b: </w:t>
            </w:r>
            <w:r w:rsidR="004714A3" w:rsidRPr="00E51B78">
              <w:rPr>
                <w:rFonts w:ascii="Arial" w:hAnsi="Arial" w:cs="Arial"/>
                <w:sz w:val="20"/>
                <w:szCs w:val="20"/>
              </w:rPr>
              <w:t>Analyze WAC purchases</w:t>
            </w:r>
          </w:p>
          <w:p w14:paraId="619C5750" w14:textId="77777777" w:rsidR="00777EF9" w:rsidRPr="00E51B78" w:rsidRDefault="00777EF9" w:rsidP="00B731DE">
            <w:pPr>
              <w:spacing w:before="60" w:after="60"/>
              <w:rPr>
                <w:rFonts w:ascii="Arial" w:hAnsi="Arial" w:cs="Arial"/>
                <w:sz w:val="20"/>
                <w:szCs w:val="20"/>
              </w:rPr>
            </w:pPr>
          </w:p>
        </w:tc>
        <w:tc>
          <w:tcPr>
            <w:tcW w:w="91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D0EECEB" w14:textId="299CB197" w:rsidR="00A86EA2" w:rsidRPr="00E51B78" w:rsidRDefault="009754C1" w:rsidP="00B731DE">
            <w:pPr>
              <w:pStyle w:val="ListParagraph"/>
              <w:numPr>
                <w:ilvl w:val="0"/>
                <w:numId w:val="13"/>
              </w:numPr>
              <w:spacing w:before="60" w:after="60"/>
              <w:ind w:left="342"/>
              <w:rPr>
                <w:rFonts w:ascii="Arial" w:hAnsi="Arial" w:cs="Arial"/>
                <w:sz w:val="20"/>
                <w:szCs w:val="20"/>
              </w:rPr>
            </w:pPr>
            <w:r w:rsidRPr="00E51B78">
              <w:rPr>
                <w:rFonts w:ascii="Arial" w:hAnsi="Arial" w:cs="Arial"/>
                <w:sz w:val="20"/>
                <w:szCs w:val="20"/>
              </w:rPr>
              <w:t xml:space="preserve">Run a </w:t>
            </w:r>
            <w:r w:rsidR="00FE7673" w:rsidRPr="00E51B78">
              <w:rPr>
                <w:rFonts w:ascii="Arial" w:hAnsi="Arial" w:cs="Arial"/>
                <w:sz w:val="20"/>
                <w:szCs w:val="20"/>
              </w:rPr>
              <w:t>3-month</w:t>
            </w:r>
            <w:r w:rsidRPr="00E51B78">
              <w:rPr>
                <w:rFonts w:ascii="Arial" w:hAnsi="Arial" w:cs="Arial"/>
                <w:sz w:val="20"/>
                <w:szCs w:val="20"/>
              </w:rPr>
              <w:t xml:space="preserve"> purchase history </w:t>
            </w:r>
            <w:r w:rsidR="00BA18CA" w:rsidRPr="00E51B78">
              <w:rPr>
                <w:rFonts w:ascii="Arial" w:hAnsi="Arial" w:cs="Arial"/>
                <w:sz w:val="20"/>
                <w:szCs w:val="20"/>
              </w:rPr>
              <w:t xml:space="preserve">of your </w:t>
            </w:r>
            <w:r w:rsidRPr="00E51B78">
              <w:rPr>
                <w:rFonts w:ascii="Arial" w:hAnsi="Arial" w:cs="Arial"/>
                <w:sz w:val="20"/>
                <w:szCs w:val="20"/>
              </w:rPr>
              <w:t>340B</w:t>
            </w:r>
            <w:r w:rsidR="00BA18CA" w:rsidRPr="00E51B78">
              <w:rPr>
                <w:rFonts w:ascii="Arial" w:hAnsi="Arial" w:cs="Arial"/>
                <w:sz w:val="20"/>
                <w:szCs w:val="20"/>
              </w:rPr>
              <w:t>, GPO</w:t>
            </w:r>
            <w:r w:rsidR="00F55EDF" w:rsidRPr="00E51B78">
              <w:rPr>
                <w:rFonts w:ascii="Arial" w:hAnsi="Arial" w:cs="Arial"/>
                <w:sz w:val="20"/>
                <w:szCs w:val="20"/>
              </w:rPr>
              <w:t xml:space="preserve">, and WAC </w:t>
            </w:r>
            <w:r w:rsidRPr="00E51B78">
              <w:rPr>
                <w:rFonts w:ascii="Arial" w:hAnsi="Arial" w:cs="Arial"/>
                <w:sz w:val="20"/>
                <w:szCs w:val="20"/>
              </w:rPr>
              <w:t>accounts</w:t>
            </w:r>
            <w:r w:rsidR="007D3EC1" w:rsidRPr="00E51B78">
              <w:rPr>
                <w:rFonts w:ascii="Arial" w:hAnsi="Arial" w:cs="Arial"/>
                <w:sz w:val="20"/>
                <w:szCs w:val="20"/>
              </w:rPr>
              <w:t>. If possible, include purchases made direct</w:t>
            </w:r>
            <w:r w:rsidR="00AC4484" w:rsidRPr="00E51B78">
              <w:rPr>
                <w:rFonts w:ascii="Arial" w:hAnsi="Arial" w:cs="Arial"/>
                <w:sz w:val="20"/>
                <w:szCs w:val="20"/>
              </w:rPr>
              <w:t>ly</w:t>
            </w:r>
            <w:r w:rsidR="007D3EC1" w:rsidRPr="00E51B78">
              <w:rPr>
                <w:rFonts w:ascii="Arial" w:hAnsi="Arial" w:cs="Arial"/>
                <w:sz w:val="20"/>
                <w:szCs w:val="20"/>
              </w:rPr>
              <w:t xml:space="preserve"> </w:t>
            </w:r>
            <w:r w:rsidR="006A612E" w:rsidRPr="00E51B78">
              <w:rPr>
                <w:rFonts w:ascii="Arial" w:hAnsi="Arial" w:cs="Arial"/>
                <w:sz w:val="20"/>
                <w:szCs w:val="20"/>
              </w:rPr>
              <w:t>from</w:t>
            </w:r>
            <w:r w:rsidR="007D3EC1" w:rsidRPr="00E51B78">
              <w:rPr>
                <w:rFonts w:ascii="Arial" w:hAnsi="Arial" w:cs="Arial"/>
                <w:sz w:val="20"/>
                <w:szCs w:val="20"/>
              </w:rPr>
              <w:t xml:space="preserve"> the manufacturer</w:t>
            </w:r>
            <w:r w:rsidR="003C7E39" w:rsidRPr="00E51B78">
              <w:rPr>
                <w:rFonts w:ascii="Arial" w:hAnsi="Arial" w:cs="Arial"/>
                <w:sz w:val="20"/>
                <w:szCs w:val="20"/>
              </w:rPr>
              <w:t xml:space="preserve"> or through limited distribution channels.  </w:t>
            </w:r>
          </w:p>
          <w:p w14:paraId="765686FF" w14:textId="2037A687" w:rsidR="0036018C" w:rsidRPr="00E51B78" w:rsidRDefault="00420F8D"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Identify products contributing the most to your entity’s WAC spend by sorting </w:t>
            </w:r>
            <w:r w:rsidR="00674900" w:rsidRPr="00E51B78">
              <w:rPr>
                <w:rFonts w:ascii="Arial" w:hAnsi="Arial" w:cs="Arial"/>
                <w:sz w:val="20"/>
                <w:szCs w:val="20"/>
              </w:rPr>
              <w:t xml:space="preserve">purchases </w:t>
            </w:r>
            <w:r w:rsidR="00122D6C" w:rsidRPr="00E51B78">
              <w:rPr>
                <w:rFonts w:ascii="Arial" w:hAnsi="Arial" w:cs="Arial"/>
                <w:sz w:val="20"/>
                <w:szCs w:val="20"/>
              </w:rPr>
              <w:t xml:space="preserve">from </w:t>
            </w:r>
            <w:r w:rsidR="00674900" w:rsidRPr="00E51B78">
              <w:rPr>
                <w:rFonts w:ascii="Arial" w:hAnsi="Arial" w:cs="Arial"/>
                <w:sz w:val="20"/>
                <w:szCs w:val="20"/>
              </w:rPr>
              <w:t>highest to lowest WAC spend</w:t>
            </w:r>
            <w:r w:rsidR="00F5752C" w:rsidRPr="00E51B78">
              <w:rPr>
                <w:rFonts w:ascii="Arial" w:hAnsi="Arial" w:cs="Arial"/>
                <w:sz w:val="20"/>
                <w:szCs w:val="20"/>
              </w:rPr>
              <w:t>.</w:t>
            </w:r>
          </w:p>
          <w:p w14:paraId="3165441C" w14:textId="4A02D814" w:rsidR="00F55EDF" w:rsidRPr="00E51B78" w:rsidRDefault="00244FE8"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For each </w:t>
            </w:r>
            <w:r w:rsidR="00DB1384" w:rsidRPr="00E51B78">
              <w:rPr>
                <w:rFonts w:ascii="Arial" w:hAnsi="Arial" w:cs="Arial"/>
                <w:sz w:val="20"/>
                <w:szCs w:val="20"/>
              </w:rPr>
              <w:t>product or NDC</w:t>
            </w:r>
            <w:r w:rsidRPr="00E51B78">
              <w:rPr>
                <w:rFonts w:ascii="Arial" w:hAnsi="Arial" w:cs="Arial"/>
                <w:sz w:val="20"/>
                <w:szCs w:val="20"/>
              </w:rPr>
              <w:t>, c</w:t>
            </w:r>
            <w:r w:rsidR="00E717A2" w:rsidRPr="00E51B78">
              <w:rPr>
                <w:rFonts w:ascii="Arial" w:hAnsi="Arial" w:cs="Arial"/>
                <w:sz w:val="20"/>
                <w:szCs w:val="20"/>
              </w:rPr>
              <w:t xml:space="preserve">ompare </w:t>
            </w:r>
            <w:r w:rsidRPr="00E51B78">
              <w:rPr>
                <w:rFonts w:ascii="Arial" w:hAnsi="Arial" w:cs="Arial"/>
                <w:sz w:val="20"/>
                <w:szCs w:val="20"/>
              </w:rPr>
              <w:t xml:space="preserve">the </w:t>
            </w:r>
            <w:r w:rsidR="00E717A2" w:rsidRPr="00E51B78">
              <w:rPr>
                <w:rFonts w:ascii="Arial" w:hAnsi="Arial" w:cs="Arial"/>
                <w:sz w:val="20"/>
                <w:szCs w:val="20"/>
              </w:rPr>
              <w:t xml:space="preserve">WAC </w:t>
            </w:r>
            <w:r w:rsidRPr="00E51B78">
              <w:rPr>
                <w:rFonts w:ascii="Arial" w:hAnsi="Arial" w:cs="Arial"/>
                <w:sz w:val="20"/>
                <w:szCs w:val="20"/>
              </w:rPr>
              <w:t xml:space="preserve">to 340B purchase </w:t>
            </w:r>
            <w:r w:rsidR="00676937" w:rsidRPr="00E51B78">
              <w:rPr>
                <w:rFonts w:ascii="Arial" w:hAnsi="Arial" w:cs="Arial"/>
                <w:sz w:val="20"/>
                <w:szCs w:val="20"/>
              </w:rPr>
              <w:t xml:space="preserve">quantities (not dollars) and calculate the % </w:t>
            </w:r>
            <w:r w:rsidRPr="00E51B78">
              <w:rPr>
                <w:rFonts w:ascii="Arial" w:hAnsi="Arial" w:cs="Arial"/>
                <w:sz w:val="20"/>
                <w:szCs w:val="20"/>
              </w:rPr>
              <w:t xml:space="preserve">of </w:t>
            </w:r>
            <w:r w:rsidR="00FC4A66" w:rsidRPr="00E51B78">
              <w:rPr>
                <w:rFonts w:ascii="Arial" w:hAnsi="Arial" w:cs="Arial"/>
                <w:sz w:val="20"/>
                <w:szCs w:val="20"/>
              </w:rPr>
              <w:t>packages purchased on the WAC account</w:t>
            </w:r>
            <w:r w:rsidR="00181194" w:rsidRPr="00E51B78">
              <w:rPr>
                <w:rFonts w:ascii="Arial" w:hAnsi="Arial" w:cs="Arial"/>
                <w:sz w:val="20"/>
                <w:szCs w:val="20"/>
              </w:rPr>
              <w:t xml:space="preserve"> (% WAC </w:t>
            </w:r>
            <w:r w:rsidR="00AC4484" w:rsidRPr="00E51B78">
              <w:rPr>
                <w:rFonts w:ascii="Arial" w:hAnsi="Arial" w:cs="Arial"/>
                <w:sz w:val="20"/>
                <w:szCs w:val="20"/>
              </w:rPr>
              <w:t>a</w:t>
            </w:r>
            <w:r w:rsidR="00181194" w:rsidRPr="00E51B78">
              <w:rPr>
                <w:rFonts w:ascii="Arial" w:hAnsi="Arial" w:cs="Arial"/>
                <w:sz w:val="20"/>
                <w:szCs w:val="20"/>
              </w:rPr>
              <w:t>ccount)</w:t>
            </w:r>
            <w:r w:rsidR="00F5752C" w:rsidRPr="00E51B78">
              <w:rPr>
                <w:rFonts w:ascii="Arial" w:hAnsi="Arial" w:cs="Arial"/>
                <w:sz w:val="20"/>
                <w:szCs w:val="20"/>
              </w:rPr>
              <w:t>:</w:t>
            </w:r>
          </w:p>
          <w:p w14:paraId="768B7DCD" w14:textId="7ADBA350" w:rsidR="00FC4A66" w:rsidRPr="00E51B78" w:rsidRDefault="00FC4A66" w:rsidP="00B731DE">
            <w:pPr>
              <w:pStyle w:val="ListParagraph"/>
              <w:numPr>
                <w:ilvl w:val="2"/>
                <w:numId w:val="12"/>
              </w:numPr>
              <w:spacing w:before="60" w:after="60"/>
              <w:rPr>
                <w:rFonts w:ascii="Arial" w:hAnsi="Arial" w:cs="Arial"/>
                <w:sz w:val="20"/>
                <w:szCs w:val="20"/>
              </w:rPr>
            </w:pPr>
            <w:r w:rsidRPr="00E51B78">
              <w:rPr>
                <w:rFonts w:ascii="Arial" w:hAnsi="Arial" w:cs="Arial"/>
                <w:sz w:val="20"/>
                <w:szCs w:val="20"/>
              </w:rPr>
              <w:t xml:space="preserve">% WAC </w:t>
            </w:r>
            <w:r w:rsidR="00AC4484" w:rsidRPr="00E51B78">
              <w:rPr>
                <w:rFonts w:ascii="Arial" w:hAnsi="Arial" w:cs="Arial"/>
                <w:sz w:val="20"/>
                <w:szCs w:val="20"/>
              </w:rPr>
              <w:t>a</w:t>
            </w:r>
            <w:r w:rsidR="00066665" w:rsidRPr="00E51B78">
              <w:rPr>
                <w:rFonts w:ascii="Arial" w:hAnsi="Arial" w:cs="Arial"/>
                <w:sz w:val="20"/>
                <w:szCs w:val="20"/>
              </w:rPr>
              <w:t>ccount (</w:t>
            </w:r>
            <w:r w:rsidR="00E21BB2" w:rsidRPr="00E51B78">
              <w:rPr>
                <w:rFonts w:ascii="Arial" w:hAnsi="Arial" w:cs="Arial"/>
                <w:sz w:val="20"/>
                <w:szCs w:val="20"/>
              </w:rPr>
              <w:t>by packages purchased</w:t>
            </w:r>
            <w:r w:rsidR="00066665" w:rsidRPr="00E51B78">
              <w:rPr>
                <w:rFonts w:ascii="Arial" w:hAnsi="Arial" w:cs="Arial"/>
                <w:sz w:val="20"/>
                <w:szCs w:val="20"/>
              </w:rPr>
              <w:t xml:space="preserve">) </w:t>
            </w:r>
            <w:r w:rsidRPr="00E51B78">
              <w:rPr>
                <w:rFonts w:ascii="Arial" w:hAnsi="Arial" w:cs="Arial"/>
                <w:sz w:val="20"/>
                <w:szCs w:val="20"/>
              </w:rPr>
              <w:t xml:space="preserve">= </w:t>
            </w:r>
            <w:r w:rsidR="00066665" w:rsidRPr="00E51B78">
              <w:rPr>
                <w:rFonts w:ascii="Arial" w:hAnsi="Arial" w:cs="Arial"/>
                <w:sz w:val="20"/>
                <w:szCs w:val="20"/>
              </w:rPr>
              <w:t xml:space="preserve">packages </w:t>
            </w:r>
            <w:r w:rsidR="00DB1384" w:rsidRPr="00E51B78">
              <w:rPr>
                <w:rFonts w:ascii="Arial" w:hAnsi="Arial" w:cs="Arial"/>
                <w:sz w:val="20"/>
                <w:szCs w:val="20"/>
              </w:rPr>
              <w:t>purchase</w:t>
            </w:r>
            <w:r w:rsidR="00290636" w:rsidRPr="00E51B78">
              <w:rPr>
                <w:rFonts w:ascii="Arial" w:hAnsi="Arial" w:cs="Arial"/>
                <w:sz w:val="20"/>
                <w:szCs w:val="20"/>
              </w:rPr>
              <w:t>d</w:t>
            </w:r>
            <w:r w:rsidR="00DB1384" w:rsidRPr="00E51B78">
              <w:rPr>
                <w:rFonts w:ascii="Arial" w:hAnsi="Arial" w:cs="Arial"/>
                <w:sz w:val="20"/>
                <w:szCs w:val="20"/>
              </w:rPr>
              <w:t xml:space="preserve"> on </w:t>
            </w:r>
            <w:r w:rsidR="00066665" w:rsidRPr="00E51B78">
              <w:rPr>
                <w:rFonts w:ascii="Arial" w:hAnsi="Arial" w:cs="Arial"/>
                <w:sz w:val="20"/>
                <w:szCs w:val="20"/>
              </w:rPr>
              <w:t xml:space="preserve">the WAC account ÷ total packages purchased </w:t>
            </w:r>
          </w:p>
          <w:p w14:paraId="2B15598E" w14:textId="640787AE" w:rsidR="00F77DEE" w:rsidRPr="00E51B78" w:rsidRDefault="00223EB4" w:rsidP="00B731DE">
            <w:pPr>
              <w:pStyle w:val="ListParagraph"/>
              <w:numPr>
                <w:ilvl w:val="3"/>
                <w:numId w:val="12"/>
              </w:numPr>
              <w:spacing w:before="60" w:after="60"/>
              <w:rPr>
                <w:rFonts w:ascii="Arial" w:hAnsi="Arial" w:cs="Arial"/>
                <w:sz w:val="20"/>
                <w:szCs w:val="20"/>
              </w:rPr>
            </w:pPr>
            <w:r w:rsidRPr="00E51B78">
              <w:rPr>
                <w:rFonts w:ascii="Arial" w:hAnsi="Arial" w:cs="Arial"/>
                <w:sz w:val="20"/>
                <w:szCs w:val="20"/>
              </w:rPr>
              <w:t xml:space="preserve">Depending on the product, there may be variances in </w:t>
            </w:r>
            <w:r w:rsidR="00066665" w:rsidRPr="00E51B78">
              <w:rPr>
                <w:rFonts w:ascii="Arial" w:hAnsi="Arial" w:cs="Arial"/>
                <w:sz w:val="20"/>
                <w:szCs w:val="20"/>
              </w:rPr>
              <w:t xml:space="preserve">what is considered a “normal” % WAC </w:t>
            </w:r>
            <w:proofErr w:type="gramStart"/>
            <w:r w:rsidR="00AC4484" w:rsidRPr="00E51B78">
              <w:rPr>
                <w:rFonts w:ascii="Arial" w:hAnsi="Arial" w:cs="Arial"/>
                <w:sz w:val="20"/>
                <w:szCs w:val="20"/>
              </w:rPr>
              <w:t>a</w:t>
            </w:r>
            <w:r w:rsidR="00066665" w:rsidRPr="00E51B78">
              <w:rPr>
                <w:rFonts w:ascii="Arial" w:hAnsi="Arial" w:cs="Arial"/>
                <w:sz w:val="20"/>
                <w:szCs w:val="20"/>
              </w:rPr>
              <w:t>ccount</w:t>
            </w:r>
            <w:proofErr w:type="gramEnd"/>
            <w:r w:rsidR="00066665" w:rsidRPr="00E51B78">
              <w:rPr>
                <w:rFonts w:ascii="Arial" w:hAnsi="Arial" w:cs="Arial"/>
                <w:sz w:val="20"/>
                <w:szCs w:val="20"/>
              </w:rPr>
              <w:t xml:space="preserve"> </w:t>
            </w:r>
          </w:p>
          <w:p w14:paraId="40615D40" w14:textId="4A4B5C1F" w:rsidR="00223EB4" w:rsidRPr="00E51B78" w:rsidRDefault="00181194" w:rsidP="00B731DE">
            <w:pPr>
              <w:pStyle w:val="ListParagraph"/>
              <w:numPr>
                <w:ilvl w:val="2"/>
                <w:numId w:val="12"/>
              </w:numPr>
              <w:spacing w:before="60" w:after="60"/>
              <w:rPr>
                <w:rFonts w:ascii="Arial" w:hAnsi="Arial" w:cs="Arial"/>
                <w:sz w:val="20"/>
                <w:szCs w:val="20"/>
              </w:rPr>
            </w:pPr>
            <w:r w:rsidRPr="00E51B78">
              <w:rPr>
                <w:rFonts w:ascii="Arial" w:hAnsi="Arial" w:cs="Arial"/>
                <w:sz w:val="20"/>
                <w:szCs w:val="20"/>
              </w:rPr>
              <w:t xml:space="preserve">Note: </w:t>
            </w:r>
            <w:r w:rsidR="00F77DEE" w:rsidRPr="00E51B78">
              <w:rPr>
                <w:rFonts w:ascii="Arial" w:hAnsi="Arial" w:cs="Arial"/>
                <w:sz w:val="20"/>
                <w:szCs w:val="20"/>
              </w:rPr>
              <w:t>PVP participants can view % WAC Account</w:t>
            </w:r>
            <w:r w:rsidR="005B28E8" w:rsidRPr="00E51B78">
              <w:rPr>
                <w:rFonts w:ascii="Arial" w:hAnsi="Arial" w:cs="Arial"/>
                <w:sz w:val="20"/>
                <w:szCs w:val="20"/>
              </w:rPr>
              <w:t xml:space="preserve"> </w:t>
            </w:r>
            <w:r w:rsidR="00E21BB2" w:rsidRPr="00E51B78">
              <w:rPr>
                <w:rFonts w:ascii="Arial" w:hAnsi="Arial" w:cs="Arial"/>
                <w:sz w:val="20"/>
                <w:szCs w:val="20"/>
              </w:rPr>
              <w:t>(by Total Packages Purchased and by Total $ Purchased)</w:t>
            </w:r>
            <w:r w:rsidR="00F77DEE" w:rsidRPr="00E51B78">
              <w:rPr>
                <w:rFonts w:ascii="Arial" w:hAnsi="Arial" w:cs="Arial"/>
                <w:sz w:val="20"/>
                <w:szCs w:val="20"/>
              </w:rPr>
              <w:t xml:space="preserve"> for products purchased </w:t>
            </w:r>
            <w:r w:rsidR="007A6F46" w:rsidRPr="00E51B78">
              <w:rPr>
                <w:rFonts w:ascii="Arial" w:hAnsi="Arial" w:cs="Arial"/>
                <w:sz w:val="20"/>
                <w:szCs w:val="20"/>
              </w:rPr>
              <w:t xml:space="preserve">within the Purchase Overview report on the 340bpvp.com secure website (login required).  </w:t>
            </w:r>
          </w:p>
          <w:p w14:paraId="463467E6" w14:textId="180EBC1D" w:rsidR="00C45D9A" w:rsidRPr="00E51B78" w:rsidRDefault="00810573"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Calculate </w:t>
            </w:r>
            <w:r w:rsidR="00C45D9A" w:rsidRPr="00E51B78">
              <w:rPr>
                <w:rFonts w:ascii="Arial" w:hAnsi="Arial" w:cs="Arial"/>
                <w:sz w:val="20"/>
                <w:szCs w:val="20"/>
              </w:rPr>
              <w:t xml:space="preserve">the WAC impact </w:t>
            </w:r>
            <w:r w:rsidR="006327A2" w:rsidRPr="00E51B78">
              <w:rPr>
                <w:rFonts w:ascii="Arial" w:hAnsi="Arial" w:cs="Arial"/>
                <w:sz w:val="20"/>
                <w:szCs w:val="20"/>
              </w:rPr>
              <w:t xml:space="preserve">compared </w:t>
            </w:r>
            <w:r w:rsidR="00AC4484" w:rsidRPr="00E51B78">
              <w:rPr>
                <w:rFonts w:ascii="Arial" w:hAnsi="Arial" w:cs="Arial"/>
                <w:sz w:val="20"/>
                <w:szCs w:val="20"/>
              </w:rPr>
              <w:t>with</w:t>
            </w:r>
            <w:r w:rsidR="006327A2" w:rsidRPr="00E51B78">
              <w:rPr>
                <w:rFonts w:ascii="Arial" w:hAnsi="Arial" w:cs="Arial"/>
                <w:sz w:val="20"/>
                <w:szCs w:val="20"/>
              </w:rPr>
              <w:t xml:space="preserve"> </w:t>
            </w:r>
            <w:r w:rsidR="00020752" w:rsidRPr="00E51B78">
              <w:rPr>
                <w:rFonts w:ascii="Arial" w:hAnsi="Arial" w:cs="Arial"/>
                <w:sz w:val="20"/>
                <w:szCs w:val="20"/>
              </w:rPr>
              <w:t xml:space="preserve">the </w:t>
            </w:r>
            <w:r w:rsidR="00181194" w:rsidRPr="00E51B78">
              <w:rPr>
                <w:rFonts w:ascii="Arial" w:hAnsi="Arial" w:cs="Arial"/>
                <w:sz w:val="20"/>
                <w:szCs w:val="20"/>
              </w:rPr>
              <w:t xml:space="preserve">340B and GPO </w:t>
            </w:r>
            <w:r w:rsidR="00020752" w:rsidRPr="00E51B78">
              <w:rPr>
                <w:rFonts w:ascii="Arial" w:hAnsi="Arial" w:cs="Arial"/>
                <w:sz w:val="20"/>
                <w:szCs w:val="20"/>
              </w:rPr>
              <w:t xml:space="preserve">account pricing </w:t>
            </w:r>
            <w:r w:rsidR="00420F8D" w:rsidRPr="00E51B78">
              <w:rPr>
                <w:rFonts w:ascii="Arial" w:hAnsi="Arial" w:cs="Arial"/>
                <w:sz w:val="20"/>
                <w:szCs w:val="20"/>
              </w:rPr>
              <w:t>for each product</w:t>
            </w:r>
            <w:r w:rsidRPr="00E51B78">
              <w:rPr>
                <w:rFonts w:ascii="Arial" w:hAnsi="Arial" w:cs="Arial"/>
                <w:sz w:val="20"/>
                <w:szCs w:val="20"/>
              </w:rPr>
              <w:t>:</w:t>
            </w:r>
          </w:p>
          <w:p w14:paraId="4E0F4BDD" w14:textId="413DBE78" w:rsidR="00181194" w:rsidRPr="00E51B78" w:rsidRDefault="00181194" w:rsidP="00B731DE">
            <w:pPr>
              <w:pStyle w:val="ListParagraph"/>
              <w:numPr>
                <w:ilvl w:val="2"/>
                <w:numId w:val="12"/>
              </w:numPr>
              <w:spacing w:before="60" w:after="60"/>
              <w:rPr>
                <w:rFonts w:ascii="Arial" w:hAnsi="Arial" w:cs="Arial"/>
                <w:sz w:val="20"/>
                <w:szCs w:val="20"/>
              </w:rPr>
            </w:pPr>
            <w:r w:rsidRPr="00E51B78">
              <w:rPr>
                <w:rFonts w:ascii="Arial" w:hAnsi="Arial" w:cs="Arial"/>
                <w:sz w:val="20"/>
                <w:szCs w:val="20"/>
              </w:rPr>
              <w:t xml:space="preserve">WAC impact (compared </w:t>
            </w:r>
            <w:r w:rsidR="00AC4484" w:rsidRPr="00E51B78">
              <w:rPr>
                <w:rFonts w:ascii="Arial" w:hAnsi="Arial" w:cs="Arial"/>
                <w:sz w:val="20"/>
                <w:szCs w:val="20"/>
              </w:rPr>
              <w:t>with</w:t>
            </w:r>
            <w:r w:rsidRPr="00E51B78">
              <w:rPr>
                <w:rFonts w:ascii="Arial" w:hAnsi="Arial" w:cs="Arial"/>
                <w:sz w:val="20"/>
                <w:szCs w:val="20"/>
              </w:rPr>
              <w:t xml:space="preserve"> 340B) = (WAC account price</w:t>
            </w:r>
            <w:r w:rsidR="00AC4484" w:rsidRPr="00E51B78">
              <w:rPr>
                <w:rFonts w:ascii="Arial" w:hAnsi="Arial" w:cs="Arial"/>
                <w:sz w:val="20"/>
                <w:szCs w:val="20"/>
              </w:rPr>
              <w:t xml:space="preserve"> – </w:t>
            </w:r>
            <w:r w:rsidRPr="00E51B78">
              <w:rPr>
                <w:rFonts w:ascii="Arial" w:hAnsi="Arial" w:cs="Arial"/>
                <w:sz w:val="20"/>
                <w:szCs w:val="20"/>
              </w:rPr>
              <w:t xml:space="preserve">340B account price) × purchase quantity </w:t>
            </w:r>
          </w:p>
          <w:p w14:paraId="13E3F154" w14:textId="765D3648" w:rsidR="006327A2" w:rsidRPr="00E51B78" w:rsidRDefault="006327A2" w:rsidP="00B731DE">
            <w:pPr>
              <w:pStyle w:val="ListParagraph"/>
              <w:numPr>
                <w:ilvl w:val="2"/>
                <w:numId w:val="12"/>
              </w:numPr>
              <w:spacing w:before="60" w:after="60"/>
              <w:rPr>
                <w:rFonts w:ascii="Arial" w:hAnsi="Arial" w:cs="Arial"/>
                <w:sz w:val="20"/>
                <w:szCs w:val="20"/>
              </w:rPr>
            </w:pPr>
            <w:r w:rsidRPr="00E51B78">
              <w:rPr>
                <w:rFonts w:ascii="Arial" w:hAnsi="Arial" w:cs="Arial"/>
                <w:sz w:val="20"/>
                <w:szCs w:val="20"/>
              </w:rPr>
              <w:t xml:space="preserve">WAC impact (compared </w:t>
            </w:r>
            <w:r w:rsidR="00AC4484" w:rsidRPr="00E51B78">
              <w:rPr>
                <w:rFonts w:ascii="Arial" w:hAnsi="Arial" w:cs="Arial"/>
                <w:sz w:val="20"/>
                <w:szCs w:val="20"/>
              </w:rPr>
              <w:t>with</w:t>
            </w:r>
            <w:r w:rsidRPr="00E51B78">
              <w:rPr>
                <w:rFonts w:ascii="Arial" w:hAnsi="Arial" w:cs="Arial"/>
                <w:sz w:val="20"/>
                <w:szCs w:val="20"/>
              </w:rPr>
              <w:t xml:space="preserve"> GPO) = </w:t>
            </w:r>
            <w:r w:rsidR="00FE0020" w:rsidRPr="00E51B78">
              <w:rPr>
                <w:rFonts w:ascii="Arial" w:hAnsi="Arial" w:cs="Arial"/>
                <w:sz w:val="20"/>
                <w:szCs w:val="20"/>
              </w:rPr>
              <w:t>(</w:t>
            </w:r>
            <w:r w:rsidRPr="00E51B78">
              <w:rPr>
                <w:rFonts w:ascii="Arial" w:hAnsi="Arial" w:cs="Arial"/>
                <w:sz w:val="20"/>
                <w:szCs w:val="20"/>
              </w:rPr>
              <w:t xml:space="preserve">WAC </w:t>
            </w:r>
            <w:r w:rsidR="00020752" w:rsidRPr="00E51B78">
              <w:rPr>
                <w:rFonts w:ascii="Arial" w:hAnsi="Arial" w:cs="Arial"/>
                <w:sz w:val="20"/>
                <w:szCs w:val="20"/>
              </w:rPr>
              <w:t xml:space="preserve">account </w:t>
            </w:r>
            <w:r w:rsidRPr="00E51B78">
              <w:rPr>
                <w:rFonts w:ascii="Arial" w:hAnsi="Arial" w:cs="Arial"/>
                <w:sz w:val="20"/>
                <w:szCs w:val="20"/>
              </w:rPr>
              <w:t xml:space="preserve">price </w:t>
            </w:r>
            <w:r w:rsidR="00AC4484" w:rsidRPr="00E51B78">
              <w:rPr>
                <w:rFonts w:ascii="Arial" w:hAnsi="Arial" w:cs="Arial"/>
                <w:sz w:val="20"/>
                <w:szCs w:val="20"/>
              </w:rPr>
              <w:t>–</w:t>
            </w:r>
            <w:r w:rsidRPr="00E51B78">
              <w:rPr>
                <w:rFonts w:ascii="Arial" w:hAnsi="Arial" w:cs="Arial"/>
                <w:sz w:val="20"/>
                <w:szCs w:val="20"/>
              </w:rPr>
              <w:t xml:space="preserve"> GPO</w:t>
            </w:r>
            <w:r w:rsidR="00020752" w:rsidRPr="00E51B78">
              <w:rPr>
                <w:rFonts w:ascii="Arial" w:hAnsi="Arial" w:cs="Arial"/>
                <w:sz w:val="20"/>
                <w:szCs w:val="20"/>
              </w:rPr>
              <w:t xml:space="preserve"> account</w:t>
            </w:r>
            <w:r w:rsidRPr="00E51B78">
              <w:rPr>
                <w:rFonts w:ascii="Arial" w:hAnsi="Arial" w:cs="Arial"/>
                <w:sz w:val="20"/>
                <w:szCs w:val="20"/>
              </w:rPr>
              <w:t xml:space="preserve"> price</w:t>
            </w:r>
            <w:r w:rsidR="00FE0020" w:rsidRPr="00E51B78">
              <w:rPr>
                <w:rFonts w:ascii="Arial" w:hAnsi="Arial" w:cs="Arial"/>
                <w:sz w:val="20"/>
                <w:szCs w:val="20"/>
              </w:rPr>
              <w:t xml:space="preserve">) × </w:t>
            </w:r>
            <w:r w:rsidR="006D3BEF" w:rsidRPr="00E51B78">
              <w:rPr>
                <w:rFonts w:ascii="Arial" w:hAnsi="Arial" w:cs="Arial"/>
                <w:sz w:val="20"/>
                <w:szCs w:val="20"/>
              </w:rPr>
              <w:t>purchase quantity</w:t>
            </w:r>
          </w:p>
          <w:p w14:paraId="2C960A4C" w14:textId="3CA85433" w:rsidR="00122D6C" w:rsidRPr="00E51B78" w:rsidRDefault="00F15920" w:rsidP="00B731DE">
            <w:pPr>
              <w:pStyle w:val="ListParagraph"/>
              <w:numPr>
                <w:ilvl w:val="0"/>
                <w:numId w:val="12"/>
              </w:numPr>
              <w:spacing w:before="60" w:after="60"/>
              <w:rPr>
                <w:rFonts w:ascii="Arial" w:hAnsi="Arial" w:cs="Arial"/>
                <w:sz w:val="20"/>
                <w:szCs w:val="20"/>
              </w:rPr>
            </w:pPr>
            <w:r w:rsidRPr="00E51B78">
              <w:rPr>
                <w:rFonts w:ascii="Arial" w:hAnsi="Arial" w:cs="Arial"/>
                <w:sz w:val="20"/>
                <w:szCs w:val="20"/>
              </w:rPr>
              <w:t xml:space="preserve">Run a 3-month drug utilization history from your electronic medical record or 340B </w:t>
            </w:r>
            <w:r w:rsidR="00795177" w:rsidRPr="00E51B78">
              <w:rPr>
                <w:rFonts w:ascii="Arial" w:hAnsi="Arial" w:cs="Arial"/>
                <w:sz w:val="20"/>
                <w:szCs w:val="20"/>
              </w:rPr>
              <w:t>split</w:t>
            </w:r>
            <w:r w:rsidR="00AC4484" w:rsidRPr="00E51B78">
              <w:rPr>
                <w:rFonts w:ascii="Arial" w:hAnsi="Arial" w:cs="Arial"/>
                <w:sz w:val="20"/>
                <w:szCs w:val="20"/>
              </w:rPr>
              <w:t>-</w:t>
            </w:r>
            <w:r w:rsidR="00795177" w:rsidRPr="00E51B78">
              <w:rPr>
                <w:rFonts w:ascii="Arial" w:hAnsi="Arial" w:cs="Arial"/>
                <w:sz w:val="20"/>
                <w:szCs w:val="20"/>
              </w:rPr>
              <w:t>billing software</w:t>
            </w:r>
            <w:r w:rsidR="00383758" w:rsidRPr="00E51B78">
              <w:rPr>
                <w:rFonts w:ascii="Arial" w:hAnsi="Arial" w:cs="Arial"/>
                <w:sz w:val="20"/>
                <w:szCs w:val="20"/>
              </w:rPr>
              <w:t xml:space="preserve">. </w:t>
            </w:r>
          </w:p>
          <w:p w14:paraId="7DF2B128" w14:textId="10CDAA09" w:rsidR="00F15920" w:rsidRPr="00E51B78" w:rsidRDefault="00F15920"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 xml:space="preserve">Identify the </w:t>
            </w:r>
            <w:r w:rsidR="00570443" w:rsidRPr="00E51B78">
              <w:rPr>
                <w:rFonts w:ascii="Arial" w:hAnsi="Arial" w:cs="Arial"/>
                <w:sz w:val="20"/>
                <w:szCs w:val="20"/>
              </w:rPr>
              <w:t xml:space="preserve">% outpatient (340B-eligible), % outpatient (non-340B eligible), and % inpatient utilization for each product </w:t>
            </w:r>
            <w:r w:rsidR="00EC4978" w:rsidRPr="00E51B78">
              <w:rPr>
                <w:rFonts w:ascii="Arial" w:hAnsi="Arial" w:cs="Arial"/>
                <w:sz w:val="20"/>
                <w:szCs w:val="20"/>
              </w:rPr>
              <w:t>or NDC</w:t>
            </w:r>
            <w:r w:rsidR="00383758" w:rsidRPr="00E51B78">
              <w:rPr>
                <w:rFonts w:ascii="Arial" w:hAnsi="Arial" w:cs="Arial"/>
                <w:sz w:val="20"/>
                <w:szCs w:val="20"/>
              </w:rPr>
              <w:t>.</w:t>
            </w:r>
          </w:p>
          <w:p w14:paraId="7152A632" w14:textId="39FB8612" w:rsidR="000766DF" w:rsidRPr="00E51B78" w:rsidRDefault="000766DF" w:rsidP="00B731DE">
            <w:pPr>
              <w:pStyle w:val="ListParagraph"/>
              <w:numPr>
                <w:ilvl w:val="0"/>
                <w:numId w:val="12"/>
              </w:numPr>
              <w:spacing w:before="60" w:after="60"/>
              <w:rPr>
                <w:rFonts w:ascii="Arial" w:hAnsi="Arial" w:cs="Arial"/>
                <w:sz w:val="20"/>
                <w:szCs w:val="20"/>
              </w:rPr>
            </w:pPr>
            <w:r w:rsidRPr="00E51B78">
              <w:rPr>
                <w:rFonts w:ascii="Arial" w:hAnsi="Arial" w:cs="Arial"/>
                <w:sz w:val="20"/>
                <w:szCs w:val="20"/>
              </w:rPr>
              <w:t>Prioritize reviewing products</w:t>
            </w:r>
            <w:r w:rsidR="009D5C20" w:rsidRPr="00E51B78">
              <w:rPr>
                <w:rFonts w:ascii="Arial" w:hAnsi="Arial" w:cs="Arial"/>
                <w:sz w:val="20"/>
                <w:szCs w:val="20"/>
              </w:rPr>
              <w:t xml:space="preserve"> or NDCs</w:t>
            </w:r>
            <w:r w:rsidRPr="00E51B78">
              <w:rPr>
                <w:rFonts w:ascii="Arial" w:hAnsi="Arial" w:cs="Arial"/>
                <w:sz w:val="20"/>
                <w:szCs w:val="20"/>
              </w:rPr>
              <w:t xml:space="preserve"> with: </w:t>
            </w:r>
          </w:p>
          <w:p w14:paraId="2C0A34A8" w14:textId="7E498908" w:rsidR="000766DF" w:rsidRPr="00E51B78" w:rsidRDefault="000766DF"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High WAC spend</w:t>
            </w:r>
            <w:r w:rsidR="00DB3BD3" w:rsidRPr="00E51B78">
              <w:rPr>
                <w:rFonts w:ascii="Arial" w:hAnsi="Arial" w:cs="Arial"/>
                <w:sz w:val="20"/>
                <w:szCs w:val="20"/>
              </w:rPr>
              <w:t xml:space="preserve"> and % of purchases on the WAC account</w:t>
            </w:r>
            <w:r w:rsidR="00526292" w:rsidRPr="00E51B78">
              <w:rPr>
                <w:rFonts w:ascii="Arial" w:hAnsi="Arial" w:cs="Arial"/>
                <w:sz w:val="20"/>
                <w:szCs w:val="20"/>
              </w:rPr>
              <w:t xml:space="preserve">, </w:t>
            </w:r>
            <w:r w:rsidRPr="00E51B78">
              <w:rPr>
                <w:rFonts w:ascii="Arial" w:hAnsi="Arial" w:cs="Arial"/>
                <w:sz w:val="20"/>
                <w:szCs w:val="20"/>
              </w:rPr>
              <w:t>greatest WAC impact (compared to 340B)</w:t>
            </w:r>
            <w:r w:rsidR="00526292" w:rsidRPr="00E51B78">
              <w:rPr>
                <w:rFonts w:ascii="Arial" w:hAnsi="Arial" w:cs="Arial"/>
                <w:sz w:val="20"/>
                <w:szCs w:val="20"/>
              </w:rPr>
              <w:t>,</w:t>
            </w:r>
            <w:r w:rsidRPr="00E51B78">
              <w:rPr>
                <w:rFonts w:ascii="Arial" w:hAnsi="Arial" w:cs="Arial"/>
                <w:sz w:val="20"/>
                <w:szCs w:val="20"/>
              </w:rPr>
              <w:t xml:space="preserve"> and high % outpatient </w:t>
            </w:r>
            <w:r w:rsidR="00526292" w:rsidRPr="00E51B78">
              <w:rPr>
                <w:rFonts w:ascii="Arial" w:hAnsi="Arial" w:cs="Arial"/>
                <w:sz w:val="20"/>
                <w:szCs w:val="20"/>
              </w:rPr>
              <w:t xml:space="preserve">(340B-eligible) </w:t>
            </w:r>
            <w:r w:rsidRPr="00E51B78">
              <w:rPr>
                <w:rFonts w:ascii="Arial" w:hAnsi="Arial" w:cs="Arial"/>
                <w:sz w:val="20"/>
                <w:szCs w:val="20"/>
              </w:rPr>
              <w:t>utilization</w:t>
            </w:r>
          </w:p>
          <w:p w14:paraId="0C7880EF" w14:textId="557BFBA0" w:rsidR="00526292" w:rsidRPr="00E51B78" w:rsidRDefault="00526292" w:rsidP="00B731DE">
            <w:pPr>
              <w:pStyle w:val="ListParagraph"/>
              <w:numPr>
                <w:ilvl w:val="1"/>
                <w:numId w:val="12"/>
              </w:numPr>
              <w:spacing w:before="60" w:after="60"/>
              <w:rPr>
                <w:rFonts w:ascii="Arial" w:hAnsi="Arial" w:cs="Arial"/>
                <w:sz w:val="20"/>
                <w:szCs w:val="20"/>
              </w:rPr>
            </w:pPr>
            <w:r w:rsidRPr="00E51B78">
              <w:rPr>
                <w:rFonts w:ascii="Arial" w:hAnsi="Arial" w:cs="Arial"/>
                <w:sz w:val="20"/>
                <w:szCs w:val="20"/>
              </w:rPr>
              <w:t>High WAC spend</w:t>
            </w:r>
            <w:r w:rsidR="00CE396F" w:rsidRPr="00E51B78">
              <w:rPr>
                <w:rFonts w:ascii="Arial" w:hAnsi="Arial" w:cs="Arial"/>
                <w:sz w:val="20"/>
                <w:szCs w:val="20"/>
              </w:rPr>
              <w:t xml:space="preserve"> and % of purchases on the WAC account</w:t>
            </w:r>
            <w:r w:rsidRPr="00E51B78">
              <w:rPr>
                <w:rFonts w:ascii="Arial" w:hAnsi="Arial" w:cs="Arial"/>
                <w:sz w:val="20"/>
                <w:szCs w:val="20"/>
              </w:rPr>
              <w:t>, greatest WAC impact (compared to GPO), and high % inpatient utilization</w:t>
            </w:r>
          </w:p>
          <w:p w14:paraId="4A1ED496" w14:textId="42AA0757" w:rsidR="0022797A" w:rsidRPr="00E51B78" w:rsidRDefault="00D852FC" w:rsidP="00B731DE">
            <w:pPr>
              <w:pStyle w:val="ListParagraph"/>
              <w:numPr>
                <w:ilvl w:val="0"/>
                <w:numId w:val="12"/>
              </w:numPr>
              <w:spacing w:before="60" w:after="60"/>
              <w:contextualSpacing w:val="0"/>
              <w:rPr>
                <w:rFonts w:ascii="Arial" w:hAnsi="Arial" w:cs="Arial"/>
                <w:sz w:val="20"/>
                <w:szCs w:val="20"/>
              </w:rPr>
            </w:pPr>
            <w:r w:rsidRPr="00E51B78">
              <w:rPr>
                <w:rFonts w:ascii="Arial" w:hAnsi="Arial" w:cs="Arial"/>
                <w:sz w:val="20"/>
                <w:szCs w:val="20"/>
              </w:rPr>
              <w:t>Identify</w:t>
            </w:r>
            <w:r w:rsidR="00DF38F4" w:rsidRPr="00E51B78">
              <w:rPr>
                <w:rFonts w:ascii="Arial" w:hAnsi="Arial" w:cs="Arial"/>
                <w:sz w:val="20"/>
                <w:szCs w:val="20"/>
              </w:rPr>
              <w:t xml:space="preserve"> </w:t>
            </w:r>
            <w:r w:rsidRPr="00E51B78">
              <w:rPr>
                <w:rFonts w:ascii="Arial" w:hAnsi="Arial" w:cs="Arial"/>
                <w:sz w:val="20"/>
                <w:szCs w:val="20"/>
              </w:rPr>
              <w:t xml:space="preserve">and address </w:t>
            </w:r>
            <w:r w:rsidR="00DF38F4" w:rsidRPr="00E51B78">
              <w:rPr>
                <w:rFonts w:ascii="Arial" w:hAnsi="Arial" w:cs="Arial"/>
                <w:sz w:val="20"/>
                <w:szCs w:val="20"/>
              </w:rPr>
              <w:t>the root cause</w:t>
            </w:r>
            <w:r w:rsidR="00E62D98" w:rsidRPr="00E51B78">
              <w:rPr>
                <w:rFonts w:ascii="Arial" w:hAnsi="Arial" w:cs="Arial"/>
                <w:sz w:val="20"/>
                <w:szCs w:val="20"/>
              </w:rPr>
              <w:t>s</w:t>
            </w:r>
            <w:r w:rsidR="00DF38F4" w:rsidRPr="00E51B78">
              <w:rPr>
                <w:rFonts w:ascii="Arial" w:hAnsi="Arial" w:cs="Arial"/>
                <w:sz w:val="20"/>
                <w:szCs w:val="20"/>
              </w:rPr>
              <w:t xml:space="preserve"> for </w:t>
            </w:r>
            <w:r w:rsidR="006B7A03" w:rsidRPr="00E51B78">
              <w:rPr>
                <w:rFonts w:ascii="Arial" w:hAnsi="Arial" w:cs="Arial"/>
                <w:sz w:val="20"/>
                <w:szCs w:val="20"/>
              </w:rPr>
              <w:t>WAC spend</w:t>
            </w:r>
            <w:r w:rsidR="00DF38F4" w:rsidRPr="00E51B78">
              <w:rPr>
                <w:rFonts w:ascii="Arial" w:hAnsi="Arial" w:cs="Arial"/>
                <w:sz w:val="20"/>
                <w:szCs w:val="20"/>
              </w:rPr>
              <w:t xml:space="preserve"> </w:t>
            </w:r>
            <w:r w:rsidR="00E62D98" w:rsidRPr="00E51B78">
              <w:rPr>
                <w:rFonts w:ascii="Arial" w:hAnsi="Arial" w:cs="Arial"/>
                <w:sz w:val="20"/>
                <w:szCs w:val="20"/>
              </w:rPr>
              <w:t xml:space="preserve">for each product </w:t>
            </w:r>
            <w:r w:rsidRPr="00E51B78">
              <w:rPr>
                <w:rFonts w:ascii="Arial" w:hAnsi="Arial" w:cs="Arial"/>
                <w:sz w:val="20"/>
                <w:szCs w:val="20"/>
              </w:rPr>
              <w:t xml:space="preserve">(see </w:t>
            </w:r>
            <w:r w:rsidR="006B7A03" w:rsidRPr="00E51B78">
              <w:rPr>
                <w:rFonts w:ascii="Arial" w:hAnsi="Arial" w:cs="Arial"/>
                <w:sz w:val="20"/>
                <w:szCs w:val="20"/>
              </w:rPr>
              <w:t>Step 3</w:t>
            </w:r>
            <w:r w:rsidRPr="00E51B78">
              <w:rPr>
                <w:rFonts w:ascii="Arial" w:hAnsi="Arial" w:cs="Arial"/>
                <w:sz w:val="20"/>
                <w:szCs w:val="20"/>
              </w:rPr>
              <w:t>)</w:t>
            </w:r>
            <w:r w:rsidR="00383758" w:rsidRPr="00E51B78">
              <w:rPr>
                <w:rFonts w:ascii="Arial" w:hAnsi="Arial" w:cs="Arial"/>
                <w:sz w:val="20"/>
                <w:szCs w:val="20"/>
              </w:rPr>
              <w:t>.</w:t>
            </w:r>
          </w:p>
        </w:tc>
      </w:tr>
    </w:tbl>
    <w:p w14:paraId="26892B9E" w14:textId="77777777" w:rsidR="00AE088D" w:rsidRDefault="00AE088D">
      <w:pPr>
        <w:rPr>
          <w:rFonts w:ascii="Arial" w:hAnsi="Arial" w:cs="Arial"/>
          <w:b/>
          <w:bCs/>
        </w:rPr>
      </w:pPr>
    </w:p>
    <w:p w14:paraId="387D08F3" w14:textId="77777777" w:rsidR="00831E24" w:rsidRDefault="00831E24">
      <w:pPr>
        <w:rPr>
          <w:rFonts w:ascii="Arial" w:hAnsi="Arial" w:cs="Arial"/>
          <w:b/>
          <w:bCs/>
        </w:rPr>
      </w:pPr>
    </w:p>
    <w:p w14:paraId="6928BA59" w14:textId="350CD16B" w:rsidR="00831E24" w:rsidRDefault="00831E24">
      <w:pPr>
        <w:rPr>
          <w:rFonts w:ascii="Arial" w:hAnsi="Arial" w:cs="Arial"/>
          <w:b/>
          <w:bCs/>
        </w:rPr>
      </w:pPr>
    </w:p>
    <w:p w14:paraId="47CAC43F" w14:textId="77777777" w:rsidR="00B731DE" w:rsidRDefault="00B731DE">
      <w:pPr>
        <w:rPr>
          <w:rFonts w:ascii="Arial" w:hAnsi="Arial" w:cs="Arial"/>
          <w:b/>
          <w:bCs/>
        </w:rPr>
      </w:pPr>
    </w:p>
    <w:p w14:paraId="720BF97B" w14:textId="2FCD1198" w:rsidR="00902CDF" w:rsidRPr="001D6A6F" w:rsidRDefault="00046688" w:rsidP="00E4547A">
      <w:pPr>
        <w:spacing w:after="240" w:line="240" w:lineRule="auto"/>
        <w:rPr>
          <w:rFonts w:ascii="Arial" w:hAnsi="Arial" w:cs="Arial"/>
        </w:rPr>
      </w:pPr>
      <w:r w:rsidRPr="002B3A5C">
        <w:rPr>
          <w:rFonts w:ascii="Arial" w:hAnsi="Arial" w:cs="Arial"/>
          <w:b/>
          <w:bCs/>
        </w:rPr>
        <w:lastRenderedPageBreak/>
        <w:t>Step 3:</w:t>
      </w:r>
      <w:r w:rsidRPr="001D6A6F">
        <w:rPr>
          <w:rFonts w:ascii="Arial" w:hAnsi="Arial" w:cs="Arial"/>
        </w:rPr>
        <w:t xml:space="preserve"> Identify </w:t>
      </w:r>
      <w:r w:rsidR="00EB297E" w:rsidRPr="001D6A6F">
        <w:rPr>
          <w:rFonts w:ascii="Arial" w:hAnsi="Arial" w:cs="Arial"/>
        </w:rPr>
        <w:t xml:space="preserve">and Address </w:t>
      </w:r>
      <w:r w:rsidRPr="001D6A6F">
        <w:rPr>
          <w:rFonts w:ascii="Arial" w:hAnsi="Arial" w:cs="Arial"/>
        </w:rPr>
        <w:t xml:space="preserve">the Root </w:t>
      </w:r>
      <w:r w:rsidR="00C66D23">
        <w:rPr>
          <w:rFonts w:ascii="Arial" w:hAnsi="Arial" w:cs="Arial"/>
        </w:rPr>
        <w:t>C</w:t>
      </w:r>
      <w:r w:rsidRPr="001D6A6F">
        <w:rPr>
          <w:rFonts w:ascii="Arial" w:hAnsi="Arial" w:cs="Arial"/>
        </w:rPr>
        <w:t>ause</w:t>
      </w:r>
      <w:r w:rsidR="00674696" w:rsidRPr="001D6A6F">
        <w:rPr>
          <w:rFonts w:ascii="Arial" w:hAnsi="Arial" w:cs="Arial"/>
        </w:rPr>
        <w:t>(</w:t>
      </w:r>
      <w:r w:rsidR="00EB297E" w:rsidRPr="001D6A6F">
        <w:rPr>
          <w:rFonts w:ascii="Arial" w:hAnsi="Arial" w:cs="Arial"/>
        </w:rPr>
        <w:t>s</w:t>
      </w:r>
      <w:r w:rsidR="00674696" w:rsidRPr="001D6A6F">
        <w:rPr>
          <w:rFonts w:ascii="Arial" w:hAnsi="Arial" w:cs="Arial"/>
        </w:rPr>
        <w:t>)</w:t>
      </w:r>
      <w:r w:rsidR="00EB297E" w:rsidRPr="001D6A6F">
        <w:rPr>
          <w:rFonts w:ascii="Arial" w:hAnsi="Arial" w:cs="Arial"/>
        </w:rPr>
        <w:t xml:space="preserve"> </w:t>
      </w:r>
      <w:r w:rsidRPr="001D6A6F">
        <w:rPr>
          <w:rFonts w:ascii="Arial" w:hAnsi="Arial" w:cs="Arial"/>
        </w:rPr>
        <w:t xml:space="preserve">for WAC </w:t>
      </w:r>
      <w:r w:rsidR="00C66D23">
        <w:rPr>
          <w:rFonts w:ascii="Arial" w:hAnsi="Arial" w:cs="Arial"/>
        </w:rPr>
        <w:t>Account S</w:t>
      </w:r>
      <w:r w:rsidRPr="001D6A6F">
        <w:rPr>
          <w:rFonts w:ascii="Arial" w:hAnsi="Arial" w:cs="Arial"/>
        </w:rPr>
        <w:t xml:space="preserve">pend </w:t>
      </w:r>
    </w:p>
    <w:p w14:paraId="7C229EFC" w14:textId="572DE1A7" w:rsidR="00827620" w:rsidRDefault="0099780E" w:rsidP="00E4547A">
      <w:pPr>
        <w:spacing w:after="240" w:line="240" w:lineRule="auto"/>
        <w:rPr>
          <w:rFonts w:ascii="Arial" w:hAnsi="Arial" w:cs="Arial"/>
        </w:rPr>
        <w:sectPr w:rsidR="00827620" w:rsidSect="00E51B78">
          <w:headerReference w:type="default" r:id="rId13"/>
          <w:footerReference w:type="default" r:id="rId14"/>
          <w:pgSz w:w="12240" w:h="15840"/>
          <w:pgMar w:top="2250" w:right="720" w:bottom="1080" w:left="720" w:header="720" w:footer="418" w:gutter="0"/>
          <w:cols w:space="720"/>
          <w:docGrid w:linePitch="360"/>
        </w:sectPr>
      </w:pPr>
      <w:r>
        <w:rPr>
          <w:rFonts w:ascii="Arial" w:hAnsi="Arial" w:cs="Arial"/>
        </w:rPr>
        <w:t>I</w:t>
      </w:r>
      <w:r w:rsidR="00EF1D1D">
        <w:rPr>
          <w:rFonts w:ascii="Arial" w:hAnsi="Arial" w:cs="Arial"/>
        </w:rPr>
        <w:t xml:space="preserve">dentify </w:t>
      </w:r>
      <w:r w:rsidR="009B586E">
        <w:rPr>
          <w:rFonts w:ascii="Arial" w:hAnsi="Arial" w:cs="Arial"/>
        </w:rPr>
        <w:t xml:space="preserve">and address </w:t>
      </w:r>
      <w:r w:rsidR="00E775BD">
        <w:rPr>
          <w:rFonts w:ascii="Arial" w:hAnsi="Arial" w:cs="Arial"/>
        </w:rPr>
        <w:t xml:space="preserve">the </w:t>
      </w:r>
      <w:r w:rsidR="00EF1D1D">
        <w:rPr>
          <w:rFonts w:ascii="Arial" w:hAnsi="Arial" w:cs="Arial"/>
        </w:rPr>
        <w:t xml:space="preserve">potential </w:t>
      </w:r>
      <w:r w:rsidR="00E775BD">
        <w:rPr>
          <w:rFonts w:ascii="Arial" w:hAnsi="Arial" w:cs="Arial"/>
        </w:rPr>
        <w:t>root cause</w:t>
      </w:r>
      <w:r w:rsidR="00EF1D1D">
        <w:rPr>
          <w:rFonts w:ascii="Arial" w:hAnsi="Arial" w:cs="Arial"/>
        </w:rPr>
        <w:t>s</w:t>
      </w:r>
      <w:r w:rsidR="00E775BD">
        <w:rPr>
          <w:rFonts w:ascii="Arial" w:hAnsi="Arial" w:cs="Arial"/>
        </w:rPr>
        <w:t xml:space="preserve"> for WAC spend</w:t>
      </w:r>
      <w:r>
        <w:rPr>
          <w:rFonts w:ascii="Arial" w:hAnsi="Arial" w:cs="Arial"/>
        </w:rPr>
        <w:t xml:space="preserve"> by understanding </w:t>
      </w:r>
      <w:r w:rsidR="00E775BD">
        <w:rPr>
          <w:rFonts w:ascii="Arial" w:hAnsi="Arial" w:cs="Arial"/>
        </w:rPr>
        <w:t xml:space="preserve">the </w:t>
      </w:r>
      <w:r w:rsidR="00EF1D1D">
        <w:rPr>
          <w:rFonts w:ascii="Arial" w:hAnsi="Arial" w:cs="Arial"/>
        </w:rPr>
        <w:t xml:space="preserve">process whereby a medication </w:t>
      </w:r>
      <w:r w:rsidR="00B76A6C">
        <w:rPr>
          <w:rFonts w:ascii="Arial" w:hAnsi="Arial" w:cs="Arial"/>
        </w:rPr>
        <w:t>is order</w:t>
      </w:r>
      <w:r w:rsidR="00171361">
        <w:rPr>
          <w:rFonts w:ascii="Arial" w:hAnsi="Arial" w:cs="Arial"/>
        </w:rPr>
        <w:t>ed</w:t>
      </w:r>
      <w:r w:rsidR="00B76A6C">
        <w:rPr>
          <w:rFonts w:ascii="Arial" w:hAnsi="Arial" w:cs="Arial"/>
        </w:rPr>
        <w:t xml:space="preserve"> in the </w:t>
      </w:r>
      <w:r w:rsidR="00171361">
        <w:rPr>
          <w:rFonts w:ascii="Arial" w:hAnsi="Arial" w:cs="Arial"/>
        </w:rPr>
        <w:t xml:space="preserve">electronic </w:t>
      </w:r>
      <w:r w:rsidR="00C17122">
        <w:rPr>
          <w:rFonts w:ascii="Arial" w:hAnsi="Arial" w:cs="Arial"/>
        </w:rPr>
        <w:t>medical</w:t>
      </w:r>
      <w:r w:rsidR="00171361">
        <w:rPr>
          <w:rFonts w:ascii="Arial" w:hAnsi="Arial" w:cs="Arial"/>
        </w:rPr>
        <w:t xml:space="preserve"> record (E</w:t>
      </w:r>
      <w:r w:rsidR="00C17122">
        <w:rPr>
          <w:rFonts w:ascii="Arial" w:hAnsi="Arial" w:cs="Arial"/>
        </w:rPr>
        <w:t>M</w:t>
      </w:r>
      <w:r w:rsidR="00171361">
        <w:rPr>
          <w:rFonts w:ascii="Arial" w:hAnsi="Arial" w:cs="Arial"/>
        </w:rPr>
        <w:t xml:space="preserve">R) </w:t>
      </w:r>
      <w:r w:rsidR="00B76A6C">
        <w:rPr>
          <w:rFonts w:ascii="Arial" w:hAnsi="Arial" w:cs="Arial"/>
        </w:rPr>
        <w:t xml:space="preserve">to the point where it </w:t>
      </w:r>
      <w:r w:rsidR="004E4C4C">
        <w:rPr>
          <w:rFonts w:ascii="Arial" w:hAnsi="Arial" w:cs="Arial"/>
        </w:rPr>
        <w:t xml:space="preserve">accumulates within the 340B </w:t>
      </w:r>
      <w:r w:rsidR="00795177">
        <w:rPr>
          <w:rFonts w:ascii="Arial" w:hAnsi="Arial" w:cs="Arial"/>
        </w:rPr>
        <w:t>split</w:t>
      </w:r>
      <w:r w:rsidR="00AC4484">
        <w:rPr>
          <w:rFonts w:ascii="Arial" w:hAnsi="Arial" w:cs="Arial"/>
        </w:rPr>
        <w:t>-</w:t>
      </w:r>
      <w:r w:rsidR="00795177">
        <w:rPr>
          <w:rFonts w:ascii="Arial" w:hAnsi="Arial" w:cs="Arial"/>
        </w:rPr>
        <w:t xml:space="preserve">billing </w:t>
      </w:r>
      <w:r w:rsidR="004E4C4C">
        <w:rPr>
          <w:rFonts w:ascii="Arial" w:hAnsi="Arial" w:cs="Arial"/>
        </w:rPr>
        <w:t xml:space="preserve">software and is </w:t>
      </w:r>
      <w:r w:rsidR="00317749">
        <w:rPr>
          <w:rFonts w:ascii="Arial" w:hAnsi="Arial" w:cs="Arial"/>
        </w:rPr>
        <w:t xml:space="preserve">subsequently </w:t>
      </w:r>
      <w:r w:rsidR="004E4C4C">
        <w:rPr>
          <w:rFonts w:ascii="Arial" w:hAnsi="Arial" w:cs="Arial"/>
        </w:rPr>
        <w:t xml:space="preserve">replenished </w:t>
      </w:r>
      <w:r w:rsidR="00827620">
        <w:rPr>
          <w:rFonts w:ascii="Arial" w:hAnsi="Arial" w:cs="Arial"/>
        </w:rPr>
        <w:t xml:space="preserve">by the wholesaler. </w:t>
      </w:r>
      <w:r w:rsidR="00F46007">
        <w:rPr>
          <w:rFonts w:ascii="Arial" w:hAnsi="Arial" w:cs="Arial"/>
        </w:rPr>
        <w:t>The figure below describes the process</w:t>
      </w:r>
      <w:r w:rsidR="004E4C4C">
        <w:rPr>
          <w:rFonts w:ascii="Arial" w:hAnsi="Arial" w:cs="Arial"/>
        </w:rPr>
        <w:t xml:space="preserve"> of </w:t>
      </w:r>
      <w:r w:rsidR="001544E7">
        <w:rPr>
          <w:rFonts w:ascii="Arial" w:hAnsi="Arial" w:cs="Arial"/>
        </w:rPr>
        <w:t xml:space="preserve">medication order to replenishment </w:t>
      </w:r>
      <w:r w:rsidR="00D402E4">
        <w:rPr>
          <w:rFonts w:ascii="Arial" w:hAnsi="Arial" w:cs="Arial"/>
        </w:rPr>
        <w:t>for areas where a virtual replenishment inventory model is used</w:t>
      </w:r>
      <w:r w:rsidR="009B586E">
        <w:rPr>
          <w:rFonts w:ascii="Arial" w:hAnsi="Arial" w:cs="Arial"/>
        </w:rPr>
        <w:t xml:space="preserve">. </w:t>
      </w:r>
      <w:r w:rsidR="00D4641E">
        <w:rPr>
          <w:rFonts w:ascii="Arial" w:hAnsi="Arial" w:cs="Arial"/>
        </w:rPr>
        <w:t xml:space="preserve">The bottom line is that if </w:t>
      </w:r>
      <w:r w:rsidR="001544E7">
        <w:rPr>
          <w:rFonts w:ascii="Arial" w:hAnsi="Arial" w:cs="Arial"/>
        </w:rPr>
        <w:t xml:space="preserve">a product </w:t>
      </w:r>
      <w:r w:rsidR="00D4641E">
        <w:rPr>
          <w:rFonts w:ascii="Arial" w:hAnsi="Arial" w:cs="Arial"/>
        </w:rPr>
        <w:t>does not achieve accumulations</w:t>
      </w:r>
      <w:r w:rsidR="001544E7">
        <w:rPr>
          <w:rFonts w:ascii="Arial" w:hAnsi="Arial" w:cs="Arial"/>
        </w:rPr>
        <w:t xml:space="preserve"> at the 11-digit NDC level</w:t>
      </w:r>
      <w:r w:rsidR="00D4641E">
        <w:rPr>
          <w:rFonts w:ascii="Arial" w:hAnsi="Arial" w:cs="Arial"/>
        </w:rPr>
        <w:t xml:space="preserve">, then it is not able to be replenished on the 340B or GPO account, and the purchases </w:t>
      </w:r>
      <w:r w:rsidR="00492FC2">
        <w:rPr>
          <w:rFonts w:ascii="Arial" w:hAnsi="Arial" w:cs="Arial"/>
        </w:rPr>
        <w:t xml:space="preserve">default to </w:t>
      </w:r>
      <w:r w:rsidR="00D4641E">
        <w:rPr>
          <w:rFonts w:ascii="Arial" w:hAnsi="Arial" w:cs="Arial"/>
        </w:rPr>
        <w:t xml:space="preserve">the WAC account. </w:t>
      </w:r>
      <w:r w:rsidR="009B586E">
        <w:rPr>
          <w:rFonts w:ascii="Arial" w:hAnsi="Arial" w:cs="Arial"/>
        </w:rPr>
        <w:t xml:space="preserve">The table that follows outlines the potential root causes of unintentional WAC spend as well as best practices for addressing each root cause.  </w:t>
      </w:r>
    </w:p>
    <w:p w14:paraId="729943AC" w14:textId="5F4657D3" w:rsidR="004D2A46" w:rsidRDefault="00FE35D1">
      <w:pPr>
        <w:rPr>
          <w:rFonts w:ascii="Arial" w:hAnsi="Arial" w:cs="Arial"/>
        </w:rPr>
        <w:sectPr w:rsidR="004D2A46" w:rsidSect="00C32F2E">
          <w:headerReference w:type="default" r:id="rId15"/>
          <w:pgSz w:w="15840" w:h="12240" w:orient="landscape"/>
          <w:pgMar w:top="720" w:right="990" w:bottom="720" w:left="1080" w:header="720" w:footer="418" w:gutter="0"/>
          <w:cols w:space="720"/>
          <w:docGrid w:linePitch="360"/>
        </w:sectPr>
      </w:pPr>
      <w:r>
        <w:rPr>
          <w:noProof/>
          <w:color w:val="2B579A"/>
          <w:shd w:val="clear" w:color="auto" w:fill="E6E6E6"/>
        </w:rPr>
        <w:lastRenderedPageBreak/>
        <w:object w:dxaOrig="1440" w:dyaOrig="1440" w14:anchorId="2D417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17.35pt;width:693.75pt;height:394.5pt;z-index:251658240;mso-position-horizontal-relative:text;mso-position-vertical-relative:text">
            <v:imagedata r:id="rId16" o:title=""/>
            <w10:wrap type="square"/>
          </v:shape>
          <o:OLEObject Type="Embed" ProgID="Visio.Drawing.15" ShapeID="_x0000_s2052" DrawAspect="Content" ObjectID="_1757327545" r:id="rId17"/>
        </w:object>
      </w:r>
    </w:p>
    <w:tbl>
      <w:tblPr>
        <w:tblStyle w:val="TableGrid"/>
        <w:tblW w:w="10620" w:type="dxa"/>
        <w:tblInd w:w="85" w:type="dxa"/>
        <w:tblLook w:val="04A0" w:firstRow="1" w:lastRow="0" w:firstColumn="1" w:lastColumn="0" w:noHBand="0" w:noVBand="1"/>
      </w:tblPr>
      <w:tblGrid>
        <w:gridCol w:w="1680"/>
        <w:gridCol w:w="8940"/>
      </w:tblGrid>
      <w:tr w:rsidR="00902CDF" w:rsidRPr="00AF0875" w14:paraId="409D24F9" w14:textId="77777777" w:rsidTr="00E51B78">
        <w:trPr>
          <w:tblHeader/>
        </w:trPr>
        <w:tc>
          <w:tcPr>
            <w:tcW w:w="10620" w:type="dxa"/>
            <w:gridSpan w:val="2"/>
            <w:tcBorders>
              <w:bottom w:val="single" w:sz="4" w:space="0" w:color="5B9BD5" w:themeColor="accent1"/>
            </w:tcBorders>
            <w:shd w:val="clear" w:color="auto" w:fill="001D60"/>
          </w:tcPr>
          <w:p w14:paraId="7C255E3C" w14:textId="5899B205" w:rsidR="00902CDF" w:rsidRPr="009105E6" w:rsidRDefault="00902CDF" w:rsidP="00157D40">
            <w:pPr>
              <w:jc w:val="center"/>
              <w:rPr>
                <w:rFonts w:ascii="Arial" w:hAnsi="Arial" w:cs="Arial"/>
                <w:b/>
                <w:color w:val="FFFFFF" w:themeColor="background1"/>
              </w:rPr>
            </w:pPr>
            <w:r w:rsidRPr="009105E6">
              <w:rPr>
                <w:rFonts w:ascii="Arial" w:hAnsi="Arial" w:cs="Arial"/>
                <w:b/>
                <w:color w:val="FFFFFF" w:themeColor="background1"/>
              </w:rPr>
              <w:lastRenderedPageBreak/>
              <w:t xml:space="preserve">Step </w:t>
            </w:r>
            <w:r w:rsidR="006B7A03" w:rsidRPr="009105E6">
              <w:rPr>
                <w:rFonts w:ascii="Arial" w:hAnsi="Arial" w:cs="Arial"/>
                <w:b/>
                <w:color w:val="FFFFFF" w:themeColor="background1"/>
              </w:rPr>
              <w:t>3</w:t>
            </w:r>
            <w:r w:rsidRPr="009105E6">
              <w:rPr>
                <w:rFonts w:ascii="Arial" w:hAnsi="Arial" w:cs="Arial"/>
                <w:b/>
                <w:color w:val="FFFFFF" w:themeColor="background1"/>
              </w:rPr>
              <w:t xml:space="preserve">: </w:t>
            </w:r>
            <w:r w:rsidR="007501B2" w:rsidRPr="009105E6">
              <w:rPr>
                <w:rFonts w:ascii="Arial" w:hAnsi="Arial" w:cs="Arial"/>
                <w:b/>
                <w:color w:val="FFFFFF" w:themeColor="background1"/>
              </w:rPr>
              <w:t xml:space="preserve">Identify </w:t>
            </w:r>
            <w:r w:rsidR="00674696" w:rsidRPr="009105E6">
              <w:rPr>
                <w:rFonts w:ascii="Arial" w:hAnsi="Arial" w:cs="Arial"/>
                <w:b/>
                <w:color w:val="FFFFFF" w:themeColor="background1"/>
              </w:rPr>
              <w:t xml:space="preserve">and Address </w:t>
            </w:r>
            <w:r w:rsidR="007501B2" w:rsidRPr="009105E6">
              <w:rPr>
                <w:rFonts w:ascii="Arial" w:hAnsi="Arial" w:cs="Arial"/>
                <w:b/>
                <w:color w:val="FFFFFF" w:themeColor="background1"/>
              </w:rPr>
              <w:t>Root Cause</w:t>
            </w:r>
            <w:r w:rsidR="00674696" w:rsidRPr="009105E6">
              <w:rPr>
                <w:rFonts w:ascii="Arial" w:hAnsi="Arial" w:cs="Arial"/>
                <w:b/>
                <w:color w:val="FFFFFF" w:themeColor="background1"/>
              </w:rPr>
              <w:t>(s)</w:t>
            </w:r>
            <w:r w:rsidR="007501B2" w:rsidRPr="009105E6">
              <w:rPr>
                <w:rFonts w:ascii="Arial" w:hAnsi="Arial" w:cs="Arial"/>
                <w:b/>
                <w:color w:val="FFFFFF" w:themeColor="background1"/>
              </w:rPr>
              <w:t xml:space="preserve"> for WAC Account Spend</w:t>
            </w:r>
          </w:p>
        </w:tc>
      </w:tr>
      <w:tr w:rsidR="009754C1" w14:paraId="7D905524" w14:textId="77777777" w:rsidTr="00E51B78">
        <w:tc>
          <w:tcPr>
            <w:tcW w:w="16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53510B36" w14:textId="1B4F5F02" w:rsidR="009754C1" w:rsidRPr="00E51B78" w:rsidRDefault="00C17122" w:rsidP="00E51B78">
            <w:pPr>
              <w:spacing w:before="240"/>
              <w:rPr>
                <w:rFonts w:ascii="Arial" w:hAnsi="Arial" w:cs="Arial"/>
                <w:sz w:val="20"/>
                <w:szCs w:val="20"/>
              </w:rPr>
            </w:pPr>
            <w:r w:rsidRPr="00E51B78">
              <w:rPr>
                <w:rFonts w:ascii="Arial" w:hAnsi="Arial" w:cs="Arial"/>
                <w:sz w:val="20"/>
                <w:szCs w:val="20"/>
              </w:rPr>
              <w:t xml:space="preserve"> </w:t>
            </w:r>
            <w:r w:rsidR="007501B2" w:rsidRPr="00E51B78">
              <w:rPr>
                <w:rFonts w:ascii="Arial" w:hAnsi="Arial" w:cs="Arial"/>
                <w:sz w:val="20"/>
                <w:szCs w:val="20"/>
              </w:rPr>
              <w:t xml:space="preserve">3a: </w:t>
            </w:r>
            <w:r w:rsidR="006C3F65" w:rsidRPr="00E51B78">
              <w:rPr>
                <w:rFonts w:ascii="Arial" w:hAnsi="Arial" w:cs="Arial"/>
                <w:sz w:val="20"/>
                <w:szCs w:val="20"/>
              </w:rPr>
              <w:t xml:space="preserve">Review product/NDC setup in the </w:t>
            </w:r>
            <w:r w:rsidR="007938EE" w:rsidRPr="00E51B78">
              <w:rPr>
                <w:rFonts w:ascii="Arial" w:hAnsi="Arial" w:cs="Arial"/>
                <w:sz w:val="20"/>
                <w:szCs w:val="20"/>
              </w:rPr>
              <w:t>EMR</w:t>
            </w:r>
            <w:r w:rsidR="006C3F65" w:rsidRPr="00E51B78">
              <w:rPr>
                <w:rFonts w:ascii="Arial" w:hAnsi="Arial" w:cs="Arial"/>
                <w:sz w:val="20"/>
                <w:szCs w:val="20"/>
              </w:rPr>
              <w:t xml:space="preserve"> </w:t>
            </w:r>
          </w:p>
          <w:p w14:paraId="3FF17A76" w14:textId="77777777" w:rsidR="009754C1" w:rsidRPr="00E51B78" w:rsidRDefault="009754C1" w:rsidP="00B928BE">
            <w:pPr>
              <w:rPr>
                <w:rFonts w:ascii="Arial" w:hAnsi="Arial" w:cs="Arial"/>
                <w:sz w:val="20"/>
                <w:szCs w:val="20"/>
              </w:rPr>
            </w:pPr>
          </w:p>
        </w:tc>
        <w:tc>
          <w:tcPr>
            <w:tcW w:w="8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353A01E7" w14:textId="77777777" w:rsidR="009105E6" w:rsidRPr="00E51B78" w:rsidRDefault="009105E6">
            <w:pPr>
              <w:rPr>
                <w:rFonts w:ascii="Arial" w:hAnsi="Arial" w:cs="Arial"/>
                <w:b/>
                <w:bCs/>
                <w:color w:val="5B9BD5" w:themeColor="accen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374"/>
            </w:tblGrid>
            <w:tr w:rsidR="004A43B3" w:rsidRPr="004A43B3" w14:paraId="2EEAE7C0" w14:textId="77777777" w:rsidTr="008E15D6">
              <w:tc>
                <w:tcPr>
                  <w:tcW w:w="4522" w:type="dxa"/>
                </w:tcPr>
                <w:p w14:paraId="18A580AA" w14:textId="22F89A8D" w:rsidR="00A01FA3" w:rsidRPr="00E51B78" w:rsidRDefault="00A01FA3" w:rsidP="00A01FA3">
                  <w:pPr>
                    <w:rPr>
                      <w:rFonts w:ascii="Arial" w:hAnsi="Arial" w:cs="Arial"/>
                      <w:b/>
                      <w:bCs/>
                      <w:color w:val="5B9BD5" w:themeColor="accent1"/>
                      <w:sz w:val="20"/>
                      <w:szCs w:val="20"/>
                    </w:rPr>
                  </w:pPr>
                  <w:r w:rsidRPr="00E51B78">
                    <w:rPr>
                      <w:rFonts w:ascii="Arial" w:hAnsi="Arial" w:cs="Arial"/>
                      <w:b/>
                      <w:bCs/>
                      <w:color w:val="5B9BD5" w:themeColor="accent1"/>
                      <w:sz w:val="20"/>
                      <w:szCs w:val="20"/>
                    </w:rPr>
                    <w:t>Root Cause</w:t>
                  </w:r>
                </w:p>
              </w:tc>
              <w:tc>
                <w:tcPr>
                  <w:tcW w:w="4522" w:type="dxa"/>
                </w:tcPr>
                <w:p w14:paraId="2045C031" w14:textId="15ACF00F" w:rsidR="00A01FA3" w:rsidRPr="00E51B78" w:rsidRDefault="00A01FA3" w:rsidP="00A01FA3">
                  <w:pPr>
                    <w:rPr>
                      <w:rFonts w:ascii="Arial" w:hAnsi="Arial" w:cs="Arial"/>
                      <w:b/>
                      <w:bCs/>
                      <w:color w:val="5B9BD5" w:themeColor="accent1"/>
                      <w:sz w:val="20"/>
                      <w:szCs w:val="20"/>
                    </w:rPr>
                  </w:pPr>
                  <w:r w:rsidRPr="00E51B78">
                    <w:rPr>
                      <w:rFonts w:ascii="Arial" w:hAnsi="Arial" w:cs="Arial"/>
                      <w:b/>
                      <w:bCs/>
                      <w:color w:val="5B9BD5" w:themeColor="accent1"/>
                      <w:sz w:val="20"/>
                      <w:szCs w:val="20"/>
                    </w:rPr>
                    <w:t>Best Practice</w:t>
                  </w:r>
                  <w:r w:rsidR="00C34862" w:rsidRPr="00E51B78">
                    <w:rPr>
                      <w:rFonts w:ascii="Arial" w:hAnsi="Arial" w:cs="Arial"/>
                      <w:b/>
                      <w:bCs/>
                      <w:color w:val="5B9BD5" w:themeColor="accent1"/>
                      <w:sz w:val="20"/>
                      <w:szCs w:val="20"/>
                    </w:rPr>
                    <w:t>(s)</w:t>
                  </w:r>
                </w:p>
              </w:tc>
            </w:tr>
            <w:tr w:rsidR="00A01FA3" w:rsidRPr="004A43B3" w14:paraId="745EB909" w14:textId="77777777" w:rsidTr="00E51B78">
              <w:tc>
                <w:tcPr>
                  <w:tcW w:w="4522" w:type="dxa"/>
                  <w:tcBorders>
                    <w:bottom w:val="single" w:sz="4" w:space="0" w:color="auto"/>
                  </w:tcBorders>
                </w:tcPr>
                <w:p w14:paraId="04C98353" w14:textId="6EF67FED" w:rsidR="00A01FA3" w:rsidRPr="00E51B78" w:rsidRDefault="00DC5B82" w:rsidP="00E51B78">
                  <w:pPr>
                    <w:spacing w:after="120"/>
                    <w:rPr>
                      <w:rFonts w:ascii="Arial" w:hAnsi="Arial" w:cs="Arial"/>
                      <w:sz w:val="20"/>
                      <w:szCs w:val="20"/>
                    </w:rPr>
                  </w:pPr>
                  <w:r w:rsidRPr="00E51B78">
                    <w:rPr>
                      <w:rFonts w:ascii="Arial" w:hAnsi="Arial" w:cs="Arial"/>
                      <w:sz w:val="20"/>
                      <w:szCs w:val="20"/>
                    </w:rPr>
                    <w:t>NDC selected with</w:t>
                  </w:r>
                  <w:r w:rsidR="000107CA" w:rsidRPr="00E51B78">
                    <w:rPr>
                      <w:rFonts w:ascii="Arial" w:hAnsi="Arial" w:cs="Arial"/>
                      <w:sz w:val="20"/>
                      <w:szCs w:val="20"/>
                    </w:rPr>
                    <w:t>in the EMR does not match the NDC administered</w:t>
                  </w:r>
                  <w:r w:rsidR="00737A47" w:rsidRPr="00E51B78">
                    <w:rPr>
                      <w:rFonts w:ascii="Arial" w:hAnsi="Arial" w:cs="Arial"/>
                      <w:sz w:val="20"/>
                      <w:szCs w:val="20"/>
                    </w:rPr>
                    <w:t>, leading to accumulating to the wrong NDC</w:t>
                  </w:r>
                  <w:r w:rsidR="002D5178" w:rsidRPr="00E51B78">
                    <w:rPr>
                      <w:rFonts w:ascii="Arial" w:hAnsi="Arial" w:cs="Arial"/>
                      <w:sz w:val="20"/>
                      <w:szCs w:val="20"/>
                    </w:rPr>
                    <w:t xml:space="preserve"> within the split</w:t>
                  </w:r>
                  <w:r w:rsidR="00C66D23" w:rsidRPr="00E51B78">
                    <w:rPr>
                      <w:rFonts w:ascii="Arial" w:hAnsi="Arial" w:cs="Arial"/>
                      <w:sz w:val="20"/>
                      <w:szCs w:val="20"/>
                    </w:rPr>
                    <w:t>-</w:t>
                  </w:r>
                  <w:r w:rsidR="002D5178" w:rsidRPr="00E51B78">
                    <w:rPr>
                      <w:rFonts w:ascii="Arial" w:hAnsi="Arial" w:cs="Arial"/>
                      <w:sz w:val="20"/>
                      <w:szCs w:val="20"/>
                    </w:rPr>
                    <w:t>billing software</w:t>
                  </w:r>
                  <w:r w:rsidR="00C66D23" w:rsidRPr="00E51B78">
                    <w:rPr>
                      <w:rFonts w:ascii="Arial" w:hAnsi="Arial" w:cs="Arial"/>
                      <w:sz w:val="20"/>
                      <w:szCs w:val="20"/>
                    </w:rPr>
                    <w:t>.</w:t>
                  </w:r>
                </w:p>
              </w:tc>
              <w:tc>
                <w:tcPr>
                  <w:tcW w:w="4522" w:type="dxa"/>
                  <w:tcBorders>
                    <w:bottom w:val="single" w:sz="4" w:space="0" w:color="auto"/>
                  </w:tcBorders>
                  <w:shd w:val="clear" w:color="auto" w:fill="auto"/>
                </w:tcPr>
                <w:p w14:paraId="1B967A31" w14:textId="727BB8E7" w:rsidR="00737A47" w:rsidRPr="00E51B78" w:rsidRDefault="00A01FA3" w:rsidP="00E51B78">
                  <w:pPr>
                    <w:pStyle w:val="ListParagraph"/>
                    <w:numPr>
                      <w:ilvl w:val="0"/>
                      <w:numId w:val="18"/>
                    </w:numPr>
                    <w:spacing w:after="120"/>
                    <w:ind w:left="346"/>
                    <w:rPr>
                      <w:rFonts w:ascii="Arial" w:hAnsi="Arial" w:cs="Arial"/>
                      <w:sz w:val="20"/>
                      <w:szCs w:val="20"/>
                    </w:rPr>
                  </w:pPr>
                  <w:r w:rsidRPr="00E51B78">
                    <w:rPr>
                      <w:rFonts w:ascii="Arial" w:hAnsi="Arial" w:cs="Arial"/>
                      <w:sz w:val="20"/>
                      <w:szCs w:val="20"/>
                    </w:rPr>
                    <w:t xml:space="preserve">Update the </w:t>
                  </w:r>
                  <w:r w:rsidR="000107CA" w:rsidRPr="00E51B78">
                    <w:rPr>
                      <w:rFonts w:ascii="Arial" w:hAnsi="Arial" w:cs="Arial"/>
                      <w:sz w:val="20"/>
                      <w:szCs w:val="20"/>
                    </w:rPr>
                    <w:t>EMR system (e.g., medication lists</w:t>
                  </w:r>
                  <w:r w:rsidR="00E22A80" w:rsidRPr="00E51B78">
                    <w:rPr>
                      <w:rFonts w:ascii="Arial" w:hAnsi="Arial" w:cs="Arial"/>
                      <w:sz w:val="20"/>
                      <w:szCs w:val="20"/>
                    </w:rPr>
                    <w:t xml:space="preserve"> or preference lists</w:t>
                  </w:r>
                  <w:r w:rsidR="000107CA" w:rsidRPr="00E51B78">
                    <w:rPr>
                      <w:rFonts w:ascii="Arial" w:hAnsi="Arial" w:cs="Arial"/>
                      <w:sz w:val="20"/>
                      <w:szCs w:val="20"/>
                    </w:rPr>
                    <w:t>) to select the NDC that is purchased</w:t>
                  </w:r>
                  <w:r w:rsidR="00B707B5" w:rsidRPr="00E51B78">
                    <w:rPr>
                      <w:rFonts w:ascii="Arial" w:hAnsi="Arial" w:cs="Arial"/>
                      <w:sz w:val="20"/>
                      <w:szCs w:val="20"/>
                    </w:rPr>
                    <w:t xml:space="preserve"> by the system</w:t>
                  </w:r>
                  <w:r w:rsidR="00C66D23" w:rsidRPr="00E51B78">
                    <w:rPr>
                      <w:rFonts w:ascii="Arial" w:hAnsi="Arial" w:cs="Arial"/>
                      <w:sz w:val="20"/>
                      <w:szCs w:val="20"/>
                    </w:rPr>
                    <w:t>.</w:t>
                  </w:r>
                  <w:r w:rsidR="00B707B5" w:rsidRPr="00E51B78">
                    <w:rPr>
                      <w:rFonts w:ascii="Arial" w:hAnsi="Arial" w:cs="Arial"/>
                      <w:sz w:val="20"/>
                      <w:szCs w:val="20"/>
                    </w:rPr>
                    <w:t xml:space="preserve">  </w:t>
                  </w:r>
                </w:p>
                <w:p w14:paraId="41BFC112" w14:textId="7FC79CB3" w:rsidR="00A01FA3" w:rsidRPr="00E51B78" w:rsidRDefault="00B707B5" w:rsidP="00E51B78">
                  <w:pPr>
                    <w:pStyle w:val="ListParagraph"/>
                    <w:numPr>
                      <w:ilvl w:val="0"/>
                      <w:numId w:val="18"/>
                    </w:numPr>
                    <w:spacing w:after="120"/>
                    <w:ind w:left="346"/>
                    <w:rPr>
                      <w:rFonts w:ascii="Arial" w:hAnsi="Arial" w:cs="Arial"/>
                      <w:sz w:val="20"/>
                      <w:szCs w:val="20"/>
                    </w:rPr>
                  </w:pPr>
                  <w:r w:rsidRPr="00E51B78">
                    <w:rPr>
                      <w:rFonts w:ascii="Arial" w:hAnsi="Arial" w:cs="Arial"/>
                      <w:sz w:val="20"/>
                      <w:szCs w:val="20"/>
                    </w:rPr>
                    <w:t xml:space="preserve">If multiple NDCs are purchased for a single medication strength and vial size, </w:t>
                  </w:r>
                  <w:r w:rsidR="00C34862" w:rsidRPr="00E51B78">
                    <w:rPr>
                      <w:rFonts w:ascii="Arial" w:hAnsi="Arial" w:cs="Arial"/>
                      <w:sz w:val="20"/>
                      <w:szCs w:val="20"/>
                    </w:rPr>
                    <w:t>consider segregating the different NDCs to different locations, so you can select a single</w:t>
                  </w:r>
                  <w:r w:rsidR="00F07C58" w:rsidRPr="00E51B78">
                    <w:rPr>
                      <w:rFonts w:ascii="Arial" w:hAnsi="Arial" w:cs="Arial"/>
                      <w:sz w:val="20"/>
                      <w:szCs w:val="20"/>
                    </w:rPr>
                    <w:t xml:space="preserve"> </w:t>
                  </w:r>
                  <w:r w:rsidR="00C34862" w:rsidRPr="00E51B78">
                    <w:rPr>
                      <w:rFonts w:ascii="Arial" w:hAnsi="Arial" w:cs="Arial"/>
                      <w:sz w:val="20"/>
                      <w:szCs w:val="20"/>
                    </w:rPr>
                    <w:t>NDC for a particular location</w:t>
                  </w:r>
                  <w:r w:rsidR="00C66D23" w:rsidRPr="00E51B78">
                    <w:rPr>
                      <w:rFonts w:ascii="Arial" w:hAnsi="Arial" w:cs="Arial"/>
                      <w:sz w:val="20"/>
                      <w:szCs w:val="20"/>
                    </w:rPr>
                    <w:t>.</w:t>
                  </w:r>
                </w:p>
              </w:tc>
            </w:tr>
            <w:tr w:rsidR="00A01FA3" w:rsidRPr="004A43B3" w14:paraId="689DACD1" w14:textId="77777777" w:rsidTr="00E51B78">
              <w:tc>
                <w:tcPr>
                  <w:tcW w:w="4522" w:type="dxa"/>
                  <w:tcBorders>
                    <w:top w:val="single" w:sz="4" w:space="0" w:color="auto"/>
                    <w:bottom w:val="single" w:sz="4" w:space="0" w:color="auto"/>
                  </w:tcBorders>
                </w:tcPr>
                <w:p w14:paraId="70ED84E1" w14:textId="58A421FD" w:rsidR="00A01FA3" w:rsidRPr="00E51B78" w:rsidRDefault="00F07C58" w:rsidP="00E51B78">
                  <w:pPr>
                    <w:spacing w:before="120" w:after="120"/>
                    <w:rPr>
                      <w:rFonts w:ascii="Arial" w:hAnsi="Arial" w:cs="Arial"/>
                      <w:sz w:val="20"/>
                      <w:szCs w:val="20"/>
                    </w:rPr>
                  </w:pPr>
                  <w:r w:rsidRPr="00E51B78">
                    <w:rPr>
                      <w:rFonts w:ascii="Arial" w:hAnsi="Arial" w:cs="Arial"/>
                      <w:sz w:val="20"/>
                      <w:szCs w:val="20"/>
                    </w:rPr>
                    <w:t xml:space="preserve">Same </w:t>
                  </w:r>
                  <w:r w:rsidR="00D73435" w:rsidRPr="00E51B78">
                    <w:rPr>
                      <w:rFonts w:ascii="Arial" w:hAnsi="Arial" w:cs="Arial"/>
                      <w:sz w:val="20"/>
                      <w:szCs w:val="20"/>
                    </w:rPr>
                    <w:t xml:space="preserve">billing code or </w:t>
                  </w:r>
                  <w:r w:rsidR="00737A47" w:rsidRPr="00E51B78">
                    <w:rPr>
                      <w:rFonts w:ascii="Arial" w:hAnsi="Arial" w:cs="Arial"/>
                      <w:sz w:val="20"/>
                      <w:szCs w:val="20"/>
                    </w:rPr>
                    <w:t>charge description master (CDM) assigned to a product with multiple vial sizes, leading to accumulating to the wrong vial size</w:t>
                  </w:r>
                  <w:r w:rsidR="00D402E4" w:rsidRPr="00E51B78">
                    <w:rPr>
                      <w:rFonts w:ascii="Arial" w:hAnsi="Arial" w:cs="Arial"/>
                      <w:sz w:val="20"/>
                      <w:szCs w:val="20"/>
                    </w:rPr>
                    <w:t xml:space="preserve"> within the split</w:t>
                  </w:r>
                  <w:r w:rsidR="00C66D23" w:rsidRPr="00E51B78">
                    <w:rPr>
                      <w:rFonts w:ascii="Arial" w:hAnsi="Arial" w:cs="Arial"/>
                      <w:sz w:val="20"/>
                      <w:szCs w:val="20"/>
                    </w:rPr>
                    <w:t>-</w:t>
                  </w:r>
                  <w:r w:rsidR="00D402E4" w:rsidRPr="00E51B78">
                    <w:rPr>
                      <w:rFonts w:ascii="Arial" w:hAnsi="Arial" w:cs="Arial"/>
                      <w:sz w:val="20"/>
                      <w:szCs w:val="20"/>
                    </w:rPr>
                    <w:t>billing software</w:t>
                  </w:r>
                  <w:r w:rsidR="00C66D23" w:rsidRPr="00E51B78">
                    <w:rPr>
                      <w:rFonts w:ascii="Arial" w:hAnsi="Arial" w:cs="Arial"/>
                      <w:sz w:val="20"/>
                      <w:szCs w:val="20"/>
                    </w:rPr>
                    <w:t>.</w:t>
                  </w:r>
                </w:p>
              </w:tc>
              <w:tc>
                <w:tcPr>
                  <w:tcW w:w="4522" w:type="dxa"/>
                  <w:tcBorders>
                    <w:top w:val="single" w:sz="4" w:space="0" w:color="auto"/>
                    <w:bottom w:val="single" w:sz="4" w:space="0" w:color="auto"/>
                  </w:tcBorders>
                  <w:shd w:val="clear" w:color="auto" w:fill="auto"/>
                </w:tcPr>
                <w:p w14:paraId="1804CB6D" w14:textId="729EAC00" w:rsidR="00A01FA3" w:rsidRPr="00E51B78" w:rsidRDefault="00B737C6" w:rsidP="00E51B78">
                  <w:pPr>
                    <w:pStyle w:val="ListParagraph"/>
                    <w:numPr>
                      <w:ilvl w:val="0"/>
                      <w:numId w:val="20"/>
                    </w:numPr>
                    <w:shd w:val="clear" w:color="auto" w:fill="FFFFFF" w:themeFill="background1"/>
                    <w:spacing w:before="120" w:after="120"/>
                    <w:ind w:left="346"/>
                    <w:rPr>
                      <w:rFonts w:ascii="Arial" w:hAnsi="Arial" w:cs="Arial"/>
                      <w:sz w:val="20"/>
                      <w:szCs w:val="20"/>
                    </w:rPr>
                  </w:pPr>
                  <w:r w:rsidRPr="00E51B78">
                    <w:rPr>
                      <w:rFonts w:ascii="Arial" w:hAnsi="Arial" w:cs="Arial"/>
                      <w:sz w:val="20"/>
                      <w:szCs w:val="20"/>
                    </w:rPr>
                    <w:t>Work with your clinical teams to consolidate to a single vial size if possible</w:t>
                  </w:r>
                  <w:r w:rsidR="00C66D23" w:rsidRPr="00E51B78">
                    <w:rPr>
                      <w:rFonts w:ascii="Arial" w:hAnsi="Arial" w:cs="Arial"/>
                      <w:sz w:val="20"/>
                      <w:szCs w:val="20"/>
                    </w:rPr>
                    <w:t>.</w:t>
                  </w:r>
                </w:p>
                <w:p w14:paraId="630F9A41" w14:textId="243762C7" w:rsidR="00EE502C" w:rsidRPr="00E51B78" w:rsidRDefault="00B737C6" w:rsidP="00E51B78">
                  <w:pPr>
                    <w:pStyle w:val="ListParagraph"/>
                    <w:numPr>
                      <w:ilvl w:val="0"/>
                      <w:numId w:val="20"/>
                    </w:numPr>
                    <w:shd w:val="clear" w:color="auto" w:fill="FFFFFF" w:themeFill="background1"/>
                    <w:spacing w:before="120" w:after="120"/>
                    <w:ind w:left="346"/>
                    <w:rPr>
                      <w:rFonts w:ascii="Arial" w:hAnsi="Arial" w:cs="Arial"/>
                      <w:sz w:val="20"/>
                      <w:szCs w:val="20"/>
                    </w:rPr>
                  </w:pPr>
                  <w:r w:rsidRPr="00E51B78">
                    <w:rPr>
                      <w:rFonts w:ascii="Arial" w:hAnsi="Arial" w:cs="Arial"/>
                      <w:sz w:val="20"/>
                      <w:szCs w:val="20"/>
                    </w:rPr>
                    <w:t>If unable to consolidate to a single vial size, w</w:t>
                  </w:r>
                  <w:r w:rsidR="00EE502C" w:rsidRPr="00E51B78">
                    <w:rPr>
                      <w:rFonts w:ascii="Arial" w:hAnsi="Arial" w:cs="Arial"/>
                      <w:sz w:val="20"/>
                      <w:szCs w:val="20"/>
                    </w:rPr>
                    <w:t xml:space="preserve">ork with your pharmacy informatics and operations teams to assign a unique </w:t>
                  </w:r>
                  <w:r w:rsidR="00D73435" w:rsidRPr="00E51B78">
                    <w:rPr>
                      <w:rFonts w:ascii="Arial" w:hAnsi="Arial" w:cs="Arial"/>
                      <w:sz w:val="20"/>
                      <w:szCs w:val="20"/>
                    </w:rPr>
                    <w:t xml:space="preserve">billing code or </w:t>
                  </w:r>
                  <w:r w:rsidR="00EE502C" w:rsidRPr="00E51B78">
                    <w:rPr>
                      <w:rFonts w:ascii="Arial" w:hAnsi="Arial" w:cs="Arial"/>
                      <w:sz w:val="20"/>
                      <w:szCs w:val="20"/>
                    </w:rPr>
                    <w:t>CDM for each vial size</w:t>
                  </w:r>
                  <w:r w:rsidR="00C66D23" w:rsidRPr="00E51B78">
                    <w:rPr>
                      <w:rFonts w:ascii="Arial" w:hAnsi="Arial" w:cs="Arial"/>
                      <w:sz w:val="20"/>
                      <w:szCs w:val="20"/>
                    </w:rPr>
                    <w:t>.</w:t>
                  </w:r>
                </w:p>
              </w:tc>
            </w:tr>
            <w:tr w:rsidR="00A957FE" w:rsidRPr="004A43B3" w14:paraId="1A70FE30" w14:textId="77777777" w:rsidTr="00E51B78">
              <w:tc>
                <w:tcPr>
                  <w:tcW w:w="4522" w:type="dxa"/>
                  <w:tcBorders>
                    <w:top w:val="single" w:sz="4" w:space="0" w:color="auto"/>
                    <w:bottom w:val="single" w:sz="4" w:space="0" w:color="auto"/>
                  </w:tcBorders>
                </w:tcPr>
                <w:p w14:paraId="5C6BB06A" w14:textId="52C15FD5" w:rsidR="00A957FE" w:rsidRPr="00E51B78" w:rsidRDefault="00D73435" w:rsidP="00E51B78">
                  <w:pPr>
                    <w:spacing w:before="120" w:after="120"/>
                    <w:rPr>
                      <w:rFonts w:ascii="Arial" w:hAnsi="Arial" w:cs="Arial"/>
                      <w:sz w:val="20"/>
                      <w:szCs w:val="20"/>
                    </w:rPr>
                  </w:pPr>
                  <w:r w:rsidRPr="00E51B78">
                    <w:rPr>
                      <w:rFonts w:ascii="Arial" w:hAnsi="Arial" w:cs="Arial"/>
                      <w:sz w:val="20"/>
                      <w:szCs w:val="20"/>
                    </w:rPr>
                    <w:t xml:space="preserve">Billing code or </w:t>
                  </w:r>
                  <w:r w:rsidR="00A957FE" w:rsidRPr="00E51B78">
                    <w:rPr>
                      <w:rFonts w:ascii="Arial" w:hAnsi="Arial" w:cs="Arial"/>
                      <w:sz w:val="20"/>
                      <w:szCs w:val="20"/>
                    </w:rPr>
                    <w:t xml:space="preserve">CDM not assigned to the product, </w:t>
                  </w:r>
                  <w:r w:rsidR="005F3256" w:rsidRPr="00E51B78">
                    <w:rPr>
                      <w:rFonts w:ascii="Arial" w:hAnsi="Arial" w:cs="Arial"/>
                      <w:sz w:val="20"/>
                      <w:szCs w:val="20"/>
                    </w:rPr>
                    <w:t xml:space="preserve">leading to not accumulating for the product </w:t>
                  </w:r>
                  <w:r w:rsidR="00D402E4" w:rsidRPr="00E51B78">
                    <w:rPr>
                      <w:rFonts w:ascii="Arial" w:hAnsi="Arial" w:cs="Arial"/>
                      <w:sz w:val="20"/>
                      <w:szCs w:val="20"/>
                    </w:rPr>
                    <w:t>within the split</w:t>
                  </w:r>
                  <w:r w:rsidR="00C66D23" w:rsidRPr="00E51B78">
                    <w:rPr>
                      <w:rFonts w:ascii="Arial" w:hAnsi="Arial" w:cs="Arial"/>
                      <w:sz w:val="20"/>
                      <w:szCs w:val="20"/>
                    </w:rPr>
                    <w:t>-</w:t>
                  </w:r>
                  <w:r w:rsidR="00D402E4" w:rsidRPr="00E51B78">
                    <w:rPr>
                      <w:rFonts w:ascii="Arial" w:hAnsi="Arial" w:cs="Arial"/>
                      <w:sz w:val="20"/>
                      <w:szCs w:val="20"/>
                    </w:rPr>
                    <w:t>billing software</w:t>
                  </w:r>
                  <w:r w:rsidR="00C66D23" w:rsidRPr="00E51B78">
                    <w:rPr>
                      <w:rFonts w:ascii="Arial" w:hAnsi="Arial" w:cs="Arial"/>
                      <w:sz w:val="20"/>
                      <w:szCs w:val="20"/>
                    </w:rPr>
                    <w:t>.</w:t>
                  </w:r>
                </w:p>
              </w:tc>
              <w:tc>
                <w:tcPr>
                  <w:tcW w:w="4522" w:type="dxa"/>
                  <w:tcBorders>
                    <w:top w:val="single" w:sz="4" w:space="0" w:color="auto"/>
                    <w:bottom w:val="single" w:sz="4" w:space="0" w:color="auto"/>
                  </w:tcBorders>
                  <w:shd w:val="clear" w:color="auto" w:fill="FFFFFF" w:themeFill="background1"/>
                </w:tcPr>
                <w:p w14:paraId="68C9B4FB" w14:textId="207DB076" w:rsidR="00A957FE" w:rsidRPr="00E51B78" w:rsidRDefault="00A72C5C" w:rsidP="00E51B78">
                  <w:pPr>
                    <w:pStyle w:val="ListParagraph"/>
                    <w:numPr>
                      <w:ilvl w:val="0"/>
                      <w:numId w:val="21"/>
                    </w:numPr>
                    <w:spacing w:before="120" w:after="120"/>
                    <w:ind w:left="346"/>
                    <w:rPr>
                      <w:rFonts w:ascii="Arial" w:hAnsi="Arial" w:cs="Arial"/>
                      <w:sz w:val="20"/>
                      <w:szCs w:val="20"/>
                    </w:rPr>
                  </w:pPr>
                  <w:r w:rsidRPr="00E51B78">
                    <w:rPr>
                      <w:rFonts w:ascii="Arial" w:hAnsi="Arial" w:cs="Arial"/>
                      <w:sz w:val="20"/>
                      <w:szCs w:val="20"/>
                    </w:rPr>
                    <w:t xml:space="preserve">Work with your pharmacy informatics and revenue cycle teams to assign a </w:t>
                  </w:r>
                  <w:r w:rsidR="00D73435" w:rsidRPr="00E51B78">
                    <w:rPr>
                      <w:rFonts w:ascii="Arial" w:hAnsi="Arial" w:cs="Arial"/>
                      <w:sz w:val="20"/>
                      <w:szCs w:val="20"/>
                    </w:rPr>
                    <w:t xml:space="preserve">billing code or </w:t>
                  </w:r>
                  <w:r w:rsidRPr="00E51B78">
                    <w:rPr>
                      <w:rFonts w:ascii="Arial" w:hAnsi="Arial" w:cs="Arial"/>
                      <w:sz w:val="20"/>
                      <w:szCs w:val="20"/>
                    </w:rPr>
                    <w:t>CDM to the product</w:t>
                  </w:r>
                  <w:r w:rsidR="00C66D23" w:rsidRPr="00E51B78">
                    <w:rPr>
                      <w:rFonts w:ascii="Arial" w:hAnsi="Arial" w:cs="Arial"/>
                      <w:sz w:val="20"/>
                      <w:szCs w:val="20"/>
                    </w:rPr>
                    <w:t>.</w:t>
                  </w:r>
                  <w:r w:rsidRPr="00E51B78">
                    <w:rPr>
                      <w:rFonts w:ascii="Arial" w:hAnsi="Arial" w:cs="Arial"/>
                      <w:sz w:val="20"/>
                      <w:szCs w:val="20"/>
                    </w:rPr>
                    <w:t xml:space="preserve"> </w:t>
                  </w:r>
                </w:p>
                <w:p w14:paraId="2A5BAFB8" w14:textId="7AF78339" w:rsidR="008D10A3" w:rsidRPr="00E51B78" w:rsidRDefault="008D10A3" w:rsidP="00E51B78">
                  <w:pPr>
                    <w:pStyle w:val="ListParagraph"/>
                    <w:numPr>
                      <w:ilvl w:val="0"/>
                      <w:numId w:val="21"/>
                    </w:numPr>
                    <w:spacing w:before="120" w:after="120"/>
                    <w:ind w:left="346"/>
                    <w:rPr>
                      <w:rFonts w:ascii="Arial" w:hAnsi="Arial" w:cs="Arial"/>
                      <w:sz w:val="20"/>
                      <w:szCs w:val="20"/>
                    </w:rPr>
                  </w:pPr>
                  <w:r w:rsidRPr="00E51B78">
                    <w:rPr>
                      <w:rFonts w:ascii="Arial" w:hAnsi="Arial" w:cs="Arial"/>
                      <w:sz w:val="20"/>
                      <w:szCs w:val="20"/>
                    </w:rPr>
                    <w:t xml:space="preserve">Ensure </w:t>
                  </w:r>
                  <w:r w:rsidR="00C66D23" w:rsidRPr="00E51B78">
                    <w:rPr>
                      <w:rFonts w:ascii="Arial" w:hAnsi="Arial" w:cs="Arial"/>
                      <w:sz w:val="20"/>
                      <w:szCs w:val="20"/>
                    </w:rPr>
                    <w:t xml:space="preserve">that </w:t>
                  </w:r>
                  <w:r w:rsidRPr="00E51B78">
                    <w:rPr>
                      <w:rFonts w:ascii="Arial" w:hAnsi="Arial" w:cs="Arial"/>
                      <w:sz w:val="20"/>
                      <w:szCs w:val="20"/>
                    </w:rPr>
                    <w:t>billing units are also assigned to the product</w:t>
                  </w:r>
                  <w:r w:rsidR="00C66D23" w:rsidRPr="00E51B78">
                    <w:rPr>
                      <w:rFonts w:ascii="Arial" w:hAnsi="Arial" w:cs="Arial"/>
                      <w:sz w:val="20"/>
                      <w:szCs w:val="20"/>
                    </w:rPr>
                    <w:t>.</w:t>
                  </w:r>
                  <w:r w:rsidRPr="00E51B78">
                    <w:rPr>
                      <w:rFonts w:ascii="Arial" w:hAnsi="Arial" w:cs="Arial"/>
                      <w:sz w:val="20"/>
                      <w:szCs w:val="20"/>
                    </w:rPr>
                    <w:t xml:space="preserve"> </w:t>
                  </w:r>
                </w:p>
              </w:tc>
            </w:tr>
            <w:tr w:rsidR="00172166" w:rsidRPr="004A43B3" w14:paraId="1B156BAE" w14:textId="77777777" w:rsidTr="00E51B78">
              <w:tc>
                <w:tcPr>
                  <w:tcW w:w="4522" w:type="dxa"/>
                  <w:tcBorders>
                    <w:top w:val="single" w:sz="4" w:space="0" w:color="auto"/>
                  </w:tcBorders>
                </w:tcPr>
                <w:p w14:paraId="686DC121" w14:textId="2DA5E214" w:rsidR="00172166" w:rsidRPr="00E51B78" w:rsidRDefault="0029448F" w:rsidP="00E51B78">
                  <w:pPr>
                    <w:spacing w:before="120" w:after="120"/>
                    <w:rPr>
                      <w:rFonts w:ascii="Arial" w:hAnsi="Arial" w:cs="Arial"/>
                      <w:sz w:val="20"/>
                      <w:szCs w:val="20"/>
                    </w:rPr>
                  </w:pPr>
                  <w:r w:rsidRPr="00E51B78">
                    <w:rPr>
                      <w:rFonts w:ascii="Arial" w:hAnsi="Arial" w:cs="Arial"/>
                      <w:sz w:val="20"/>
                      <w:szCs w:val="20"/>
                    </w:rPr>
                    <w:t>Waste from a single dose or single</w:t>
                  </w:r>
                  <w:r w:rsidR="00052886" w:rsidRPr="00E51B78">
                    <w:rPr>
                      <w:rFonts w:ascii="Arial" w:hAnsi="Arial" w:cs="Arial"/>
                      <w:sz w:val="20"/>
                      <w:szCs w:val="20"/>
                    </w:rPr>
                    <w:t>-</w:t>
                  </w:r>
                  <w:r w:rsidRPr="00E51B78">
                    <w:rPr>
                      <w:rFonts w:ascii="Arial" w:hAnsi="Arial" w:cs="Arial"/>
                      <w:sz w:val="20"/>
                      <w:szCs w:val="20"/>
                    </w:rPr>
                    <w:t>use vial not capture</w:t>
                  </w:r>
                  <w:r w:rsidR="0055157D" w:rsidRPr="00E51B78">
                    <w:rPr>
                      <w:rFonts w:ascii="Arial" w:hAnsi="Arial" w:cs="Arial"/>
                      <w:sz w:val="20"/>
                      <w:szCs w:val="20"/>
                    </w:rPr>
                    <w:t>d</w:t>
                  </w:r>
                  <w:r w:rsidR="00E87769" w:rsidRPr="00E51B78">
                    <w:rPr>
                      <w:rFonts w:ascii="Arial" w:hAnsi="Arial" w:cs="Arial"/>
                      <w:sz w:val="20"/>
                      <w:szCs w:val="20"/>
                    </w:rPr>
                    <w:t xml:space="preserve">, leading </w:t>
                  </w:r>
                  <w:r w:rsidR="0005313B" w:rsidRPr="00E51B78">
                    <w:rPr>
                      <w:rFonts w:ascii="Arial" w:hAnsi="Arial" w:cs="Arial"/>
                      <w:sz w:val="20"/>
                      <w:szCs w:val="20"/>
                    </w:rPr>
                    <w:t xml:space="preserve">to not accumulating for the wasted </w:t>
                  </w:r>
                  <w:r w:rsidR="00BA6AD5" w:rsidRPr="00E51B78">
                    <w:rPr>
                      <w:rFonts w:ascii="Arial" w:hAnsi="Arial" w:cs="Arial"/>
                      <w:sz w:val="20"/>
                      <w:szCs w:val="20"/>
                    </w:rPr>
                    <w:t xml:space="preserve">portion of the product </w:t>
                  </w:r>
                  <w:r w:rsidR="00D402E4" w:rsidRPr="00E51B78">
                    <w:rPr>
                      <w:rFonts w:ascii="Arial" w:hAnsi="Arial" w:cs="Arial"/>
                      <w:sz w:val="20"/>
                      <w:szCs w:val="20"/>
                    </w:rPr>
                    <w:t>within the split</w:t>
                  </w:r>
                  <w:r w:rsidR="00C66D23" w:rsidRPr="00E51B78">
                    <w:rPr>
                      <w:rFonts w:ascii="Arial" w:hAnsi="Arial" w:cs="Arial"/>
                      <w:sz w:val="20"/>
                      <w:szCs w:val="20"/>
                    </w:rPr>
                    <w:t>-</w:t>
                  </w:r>
                  <w:r w:rsidR="00D402E4" w:rsidRPr="00E51B78">
                    <w:rPr>
                      <w:rFonts w:ascii="Arial" w:hAnsi="Arial" w:cs="Arial"/>
                      <w:sz w:val="20"/>
                      <w:szCs w:val="20"/>
                    </w:rPr>
                    <w:t>billing software</w:t>
                  </w:r>
                  <w:r w:rsidR="00C66D23" w:rsidRPr="00E51B78">
                    <w:rPr>
                      <w:rFonts w:ascii="Arial" w:hAnsi="Arial" w:cs="Arial"/>
                      <w:sz w:val="20"/>
                      <w:szCs w:val="20"/>
                    </w:rPr>
                    <w:t>.</w:t>
                  </w:r>
                </w:p>
              </w:tc>
              <w:tc>
                <w:tcPr>
                  <w:tcW w:w="4522" w:type="dxa"/>
                  <w:tcBorders>
                    <w:top w:val="single" w:sz="4" w:space="0" w:color="auto"/>
                  </w:tcBorders>
                </w:tcPr>
                <w:p w14:paraId="28857C64" w14:textId="541DCF83" w:rsidR="00172166" w:rsidRPr="00E51B78" w:rsidRDefault="00E87769" w:rsidP="00E51B78">
                  <w:pPr>
                    <w:pStyle w:val="ListParagraph"/>
                    <w:numPr>
                      <w:ilvl w:val="0"/>
                      <w:numId w:val="21"/>
                    </w:numPr>
                    <w:spacing w:before="120" w:after="120"/>
                    <w:ind w:left="346"/>
                    <w:rPr>
                      <w:rFonts w:ascii="Arial" w:hAnsi="Arial" w:cs="Arial"/>
                      <w:sz w:val="20"/>
                      <w:szCs w:val="20"/>
                    </w:rPr>
                  </w:pPr>
                  <w:r w:rsidRPr="00E51B78">
                    <w:rPr>
                      <w:rFonts w:ascii="Arial" w:hAnsi="Arial" w:cs="Arial"/>
                      <w:sz w:val="20"/>
                      <w:szCs w:val="20"/>
                    </w:rPr>
                    <w:t>Understand which products are wasted and focus on high-cost products first</w:t>
                  </w:r>
                  <w:r w:rsidR="00C66D23" w:rsidRPr="00E51B78">
                    <w:rPr>
                      <w:rFonts w:ascii="Arial" w:hAnsi="Arial" w:cs="Arial"/>
                      <w:sz w:val="20"/>
                      <w:szCs w:val="20"/>
                    </w:rPr>
                    <w:t>.</w:t>
                  </w:r>
                </w:p>
                <w:p w14:paraId="668BA463" w14:textId="71EC4149" w:rsidR="00E87769" w:rsidRPr="00E51B78" w:rsidRDefault="00E87769" w:rsidP="00E51B78">
                  <w:pPr>
                    <w:pStyle w:val="ListParagraph"/>
                    <w:numPr>
                      <w:ilvl w:val="0"/>
                      <w:numId w:val="21"/>
                    </w:numPr>
                    <w:spacing w:before="120" w:after="120"/>
                    <w:ind w:left="346"/>
                    <w:rPr>
                      <w:rFonts w:ascii="Arial" w:hAnsi="Arial" w:cs="Arial"/>
                      <w:sz w:val="20"/>
                      <w:szCs w:val="20"/>
                    </w:rPr>
                  </w:pPr>
                  <w:r w:rsidRPr="00E51B78">
                    <w:rPr>
                      <w:rFonts w:ascii="Arial" w:hAnsi="Arial" w:cs="Arial"/>
                      <w:sz w:val="20"/>
                      <w:szCs w:val="20"/>
                    </w:rPr>
                    <w:t>Identify ways to capture waste that can be attributed back to a specific patient</w:t>
                  </w:r>
                  <w:r w:rsidR="00440F23" w:rsidRPr="00E51B78">
                    <w:rPr>
                      <w:rFonts w:ascii="Arial" w:hAnsi="Arial" w:cs="Arial"/>
                      <w:sz w:val="20"/>
                      <w:szCs w:val="20"/>
                    </w:rPr>
                    <w:t xml:space="preserve"> and maintain auditable records to demonstrate </w:t>
                  </w:r>
                  <w:r w:rsidR="00C66D23" w:rsidRPr="00E51B78">
                    <w:rPr>
                      <w:rFonts w:ascii="Arial" w:hAnsi="Arial" w:cs="Arial"/>
                      <w:sz w:val="20"/>
                      <w:szCs w:val="20"/>
                    </w:rPr>
                    <w:t xml:space="preserve">that </w:t>
                  </w:r>
                  <w:r w:rsidR="00440F23" w:rsidRPr="00E51B78">
                    <w:rPr>
                      <w:rFonts w:ascii="Arial" w:hAnsi="Arial" w:cs="Arial"/>
                      <w:sz w:val="20"/>
                      <w:szCs w:val="20"/>
                    </w:rPr>
                    <w:t xml:space="preserve">the waste is attributed to a patient </w:t>
                  </w:r>
                  <w:r w:rsidR="00C66D23" w:rsidRPr="00E51B78">
                    <w:rPr>
                      <w:rFonts w:ascii="Arial" w:hAnsi="Arial" w:cs="Arial"/>
                      <w:sz w:val="20"/>
                      <w:szCs w:val="20"/>
                    </w:rPr>
                    <w:t>who</w:t>
                  </w:r>
                  <w:r w:rsidR="00440F23" w:rsidRPr="00E51B78">
                    <w:rPr>
                      <w:rFonts w:ascii="Arial" w:hAnsi="Arial" w:cs="Arial"/>
                      <w:sz w:val="20"/>
                      <w:szCs w:val="20"/>
                    </w:rPr>
                    <w:t xml:space="preserve"> meets the patient definition</w:t>
                  </w:r>
                  <w:r w:rsidR="006B416B" w:rsidRPr="00E51B78">
                    <w:rPr>
                      <w:rFonts w:ascii="Arial" w:hAnsi="Arial" w:cs="Arial"/>
                      <w:sz w:val="20"/>
                      <w:szCs w:val="20"/>
                    </w:rPr>
                    <w:t xml:space="preserve"> (if waste is not able to be attributed back to a patient, then the product will need to be replenished on the WAC account)</w:t>
                  </w:r>
                  <w:r w:rsidR="00C66D23" w:rsidRPr="00E51B78">
                    <w:rPr>
                      <w:rFonts w:ascii="Arial" w:hAnsi="Arial" w:cs="Arial"/>
                      <w:sz w:val="20"/>
                      <w:szCs w:val="20"/>
                    </w:rPr>
                    <w:t>.</w:t>
                  </w:r>
                </w:p>
                <w:p w14:paraId="5596F3D7" w14:textId="05435290" w:rsidR="00E87769" w:rsidRPr="00E51B78" w:rsidRDefault="00E87769" w:rsidP="00E51B78">
                  <w:pPr>
                    <w:pStyle w:val="ListParagraph"/>
                    <w:numPr>
                      <w:ilvl w:val="0"/>
                      <w:numId w:val="21"/>
                    </w:numPr>
                    <w:spacing w:before="120" w:after="120"/>
                    <w:ind w:left="346"/>
                    <w:rPr>
                      <w:rFonts w:ascii="Arial" w:hAnsi="Arial" w:cs="Arial"/>
                      <w:sz w:val="20"/>
                      <w:szCs w:val="20"/>
                    </w:rPr>
                  </w:pPr>
                  <w:r w:rsidRPr="00E51B78">
                    <w:rPr>
                      <w:rFonts w:ascii="Arial" w:hAnsi="Arial" w:cs="Arial"/>
                      <w:sz w:val="20"/>
                      <w:szCs w:val="20"/>
                    </w:rPr>
                    <w:t>Consider 340B</w:t>
                  </w:r>
                  <w:r w:rsidR="00245251" w:rsidRPr="00E51B78">
                    <w:rPr>
                      <w:rFonts w:ascii="Arial" w:hAnsi="Arial" w:cs="Arial"/>
                      <w:sz w:val="20"/>
                      <w:szCs w:val="20"/>
                    </w:rPr>
                    <w:t xml:space="preserve">- </w:t>
                  </w:r>
                  <w:r w:rsidRPr="00E51B78">
                    <w:rPr>
                      <w:rFonts w:ascii="Arial" w:hAnsi="Arial" w:cs="Arial"/>
                      <w:sz w:val="20"/>
                      <w:szCs w:val="20"/>
                    </w:rPr>
                    <w:t>or GPO</w:t>
                  </w:r>
                  <w:r w:rsidR="00245251" w:rsidRPr="00E51B78">
                    <w:rPr>
                      <w:rFonts w:ascii="Arial" w:hAnsi="Arial" w:cs="Arial"/>
                      <w:sz w:val="20"/>
                      <w:szCs w:val="20"/>
                    </w:rPr>
                    <w:t>-</w:t>
                  </w:r>
                  <w:r w:rsidRPr="00E51B78">
                    <w:rPr>
                      <w:rFonts w:ascii="Arial" w:hAnsi="Arial" w:cs="Arial"/>
                      <w:sz w:val="20"/>
                      <w:szCs w:val="20"/>
                    </w:rPr>
                    <w:t>only inventory if appropriate</w:t>
                  </w:r>
                  <w:r w:rsidR="00486BD9" w:rsidRPr="00E51B78">
                    <w:rPr>
                      <w:rFonts w:ascii="Arial" w:hAnsi="Arial" w:cs="Arial"/>
                      <w:sz w:val="20"/>
                      <w:szCs w:val="20"/>
                    </w:rPr>
                    <w:t xml:space="preserve"> (see Step 4</w:t>
                  </w:r>
                  <w:r w:rsidR="00966684" w:rsidRPr="00E51B78">
                    <w:rPr>
                      <w:rFonts w:ascii="Arial" w:hAnsi="Arial" w:cs="Arial"/>
                      <w:sz w:val="20"/>
                      <w:szCs w:val="20"/>
                    </w:rPr>
                    <w:t>b</w:t>
                  </w:r>
                  <w:r w:rsidR="00486BD9" w:rsidRPr="00E51B78">
                    <w:rPr>
                      <w:rFonts w:ascii="Arial" w:hAnsi="Arial" w:cs="Arial"/>
                      <w:sz w:val="20"/>
                      <w:szCs w:val="20"/>
                    </w:rPr>
                    <w:t xml:space="preserve"> for additional consider</w:t>
                  </w:r>
                  <w:r w:rsidR="00245251" w:rsidRPr="00E51B78">
                    <w:rPr>
                      <w:rFonts w:ascii="Arial" w:hAnsi="Arial" w:cs="Arial"/>
                      <w:sz w:val="20"/>
                      <w:szCs w:val="20"/>
                    </w:rPr>
                    <w:t>ations on 340B</w:t>
                  </w:r>
                  <w:r w:rsidR="0055157D" w:rsidRPr="00E51B78">
                    <w:rPr>
                      <w:rFonts w:ascii="Arial" w:hAnsi="Arial" w:cs="Arial"/>
                      <w:sz w:val="20"/>
                      <w:szCs w:val="20"/>
                    </w:rPr>
                    <w:t>-</w:t>
                  </w:r>
                  <w:r w:rsidR="00245251" w:rsidRPr="00E51B78">
                    <w:rPr>
                      <w:rFonts w:ascii="Arial" w:hAnsi="Arial" w:cs="Arial"/>
                      <w:sz w:val="20"/>
                      <w:szCs w:val="20"/>
                    </w:rPr>
                    <w:t xml:space="preserve"> or GPO-only inventories)</w:t>
                  </w:r>
                  <w:r w:rsidR="00C66D23" w:rsidRPr="00E51B78">
                    <w:rPr>
                      <w:rFonts w:ascii="Arial" w:hAnsi="Arial" w:cs="Arial"/>
                      <w:sz w:val="20"/>
                      <w:szCs w:val="20"/>
                    </w:rPr>
                    <w:t>.</w:t>
                  </w:r>
                  <w:r w:rsidRPr="00E51B78">
                    <w:rPr>
                      <w:rFonts w:ascii="Arial" w:hAnsi="Arial" w:cs="Arial"/>
                      <w:sz w:val="20"/>
                      <w:szCs w:val="20"/>
                    </w:rPr>
                    <w:t xml:space="preserve"> </w:t>
                  </w:r>
                </w:p>
              </w:tc>
            </w:tr>
          </w:tbl>
          <w:p w14:paraId="2DF3D071" w14:textId="0E65ECB2" w:rsidR="00F72C2E" w:rsidRPr="00E51B78" w:rsidRDefault="00F72C2E" w:rsidP="002B3A5C">
            <w:pPr>
              <w:rPr>
                <w:rFonts w:ascii="Arial" w:hAnsi="Arial" w:cs="Arial"/>
                <w:sz w:val="20"/>
                <w:szCs w:val="20"/>
              </w:rPr>
            </w:pPr>
          </w:p>
        </w:tc>
      </w:tr>
      <w:tr w:rsidR="009754C1" w14:paraId="48449EC3" w14:textId="77777777" w:rsidTr="00E51B78">
        <w:tc>
          <w:tcPr>
            <w:tcW w:w="16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5301BA1" w14:textId="0C635452" w:rsidR="009754C1" w:rsidRPr="00E51B78" w:rsidRDefault="00DC5E0B" w:rsidP="00E51B78">
            <w:pPr>
              <w:spacing w:before="240"/>
              <w:rPr>
                <w:rFonts w:ascii="Arial" w:hAnsi="Arial" w:cs="Arial"/>
                <w:sz w:val="20"/>
                <w:szCs w:val="20"/>
              </w:rPr>
            </w:pPr>
            <w:r w:rsidRPr="00E51B78">
              <w:rPr>
                <w:rFonts w:ascii="Arial" w:hAnsi="Arial" w:cs="Arial"/>
                <w:sz w:val="20"/>
                <w:szCs w:val="20"/>
              </w:rPr>
              <w:t xml:space="preserve"> </w:t>
            </w:r>
            <w:r w:rsidR="00505397" w:rsidRPr="00E51B78">
              <w:rPr>
                <w:rFonts w:ascii="Arial" w:hAnsi="Arial" w:cs="Arial"/>
                <w:sz w:val="20"/>
                <w:szCs w:val="20"/>
              </w:rPr>
              <w:t>3</w:t>
            </w:r>
            <w:r w:rsidR="00B27429" w:rsidRPr="00E51B78">
              <w:rPr>
                <w:rFonts w:ascii="Arial" w:hAnsi="Arial" w:cs="Arial"/>
                <w:sz w:val="20"/>
                <w:szCs w:val="20"/>
              </w:rPr>
              <w:t xml:space="preserve">b: </w:t>
            </w:r>
            <w:r w:rsidR="00A24710" w:rsidRPr="00E51B78">
              <w:rPr>
                <w:rFonts w:ascii="Arial" w:hAnsi="Arial" w:cs="Arial"/>
                <w:sz w:val="20"/>
                <w:szCs w:val="20"/>
              </w:rPr>
              <w:t>Review product</w:t>
            </w:r>
            <w:r w:rsidR="00A275A2" w:rsidRPr="00E51B78">
              <w:rPr>
                <w:rFonts w:ascii="Arial" w:hAnsi="Arial" w:cs="Arial"/>
                <w:sz w:val="20"/>
                <w:szCs w:val="20"/>
              </w:rPr>
              <w:t xml:space="preserve">/NDC </w:t>
            </w:r>
            <w:r w:rsidR="00A24710" w:rsidRPr="00E51B78">
              <w:rPr>
                <w:rFonts w:ascii="Arial" w:hAnsi="Arial" w:cs="Arial"/>
                <w:sz w:val="20"/>
                <w:szCs w:val="20"/>
              </w:rPr>
              <w:t xml:space="preserve">setup in the hospital billing system </w:t>
            </w:r>
          </w:p>
          <w:p w14:paraId="5E756DEA" w14:textId="12A0FDAA" w:rsidR="009754C1" w:rsidRPr="00E51B78" w:rsidRDefault="009754C1" w:rsidP="00B928BE">
            <w:pPr>
              <w:rPr>
                <w:rFonts w:ascii="Arial" w:hAnsi="Arial" w:cs="Arial"/>
                <w:sz w:val="20"/>
                <w:szCs w:val="20"/>
              </w:rPr>
            </w:pPr>
          </w:p>
        </w:tc>
        <w:tc>
          <w:tcPr>
            <w:tcW w:w="8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AC617C4" w14:textId="77777777" w:rsidR="00CA7B92" w:rsidRPr="00E51B78" w:rsidRDefault="00CA7B92" w:rsidP="00CA7B92">
            <w:pPr>
              <w:rPr>
                <w:rFonts w:ascii="Arial" w:hAnsi="Arial" w:cs="Arial"/>
                <w:sz w:val="20"/>
                <w:szCs w:val="20"/>
              </w:rPr>
            </w:pPr>
          </w:p>
          <w:tbl>
            <w:tblPr>
              <w:tblStyle w:val="TableGrid"/>
              <w:tblW w:w="0" w:type="auto"/>
              <w:tblLook w:val="04A0" w:firstRow="1" w:lastRow="0" w:firstColumn="1" w:lastColumn="0" w:noHBand="0" w:noVBand="1"/>
            </w:tblPr>
            <w:tblGrid>
              <w:gridCol w:w="4371"/>
              <w:gridCol w:w="4353"/>
            </w:tblGrid>
            <w:tr w:rsidR="00CA7B92" w:rsidRPr="004A43B3" w14:paraId="03954326" w14:textId="77777777" w:rsidTr="00E51B78">
              <w:tc>
                <w:tcPr>
                  <w:tcW w:w="4522" w:type="dxa"/>
                  <w:tcBorders>
                    <w:top w:val="nil"/>
                    <w:left w:val="nil"/>
                    <w:bottom w:val="nil"/>
                    <w:right w:val="nil"/>
                  </w:tcBorders>
                </w:tcPr>
                <w:p w14:paraId="2AAE2185" w14:textId="77777777" w:rsidR="00CA7B92" w:rsidRPr="00E51B78" w:rsidRDefault="00CA7B92" w:rsidP="00CA7B92">
                  <w:pPr>
                    <w:rPr>
                      <w:rFonts w:ascii="Arial" w:hAnsi="Arial" w:cs="Arial"/>
                      <w:b/>
                      <w:bCs/>
                      <w:color w:val="5B9BD5" w:themeColor="accent1"/>
                      <w:sz w:val="20"/>
                      <w:szCs w:val="20"/>
                    </w:rPr>
                  </w:pPr>
                  <w:r w:rsidRPr="00E51B78">
                    <w:rPr>
                      <w:rFonts w:ascii="Arial" w:hAnsi="Arial" w:cs="Arial"/>
                      <w:b/>
                      <w:bCs/>
                      <w:color w:val="5B9BD5" w:themeColor="accent1"/>
                      <w:sz w:val="20"/>
                      <w:szCs w:val="20"/>
                    </w:rPr>
                    <w:t>Root Cause</w:t>
                  </w:r>
                </w:p>
              </w:tc>
              <w:tc>
                <w:tcPr>
                  <w:tcW w:w="4522" w:type="dxa"/>
                  <w:tcBorders>
                    <w:top w:val="nil"/>
                    <w:left w:val="nil"/>
                    <w:bottom w:val="nil"/>
                    <w:right w:val="nil"/>
                  </w:tcBorders>
                </w:tcPr>
                <w:p w14:paraId="7548C407" w14:textId="77777777" w:rsidR="00CA7B92" w:rsidRPr="00E51B78" w:rsidRDefault="00CA7B92" w:rsidP="00CA7B92">
                  <w:pPr>
                    <w:rPr>
                      <w:rFonts w:ascii="Arial" w:hAnsi="Arial" w:cs="Arial"/>
                      <w:b/>
                      <w:bCs/>
                      <w:color w:val="5B9BD5" w:themeColor="accent1"/>
                      <w:sz w:val="20"/>
                      <w:szCs w:val="20"/>
                    </w:rPr>
                  </w:pPr>
                  <w:r w:rsidRPr="00E51B78">
                    <w:rPr>
                      <w:rFonts w:ascii="Arial" w:hAnsi="Arial" w:cs="Arial"/>
                      <w:b/>
                      <w:bCs/>
                      <w:color w:val="5B9BD5" w:themeColor="accent1"/>
                      <w:sz w:val="20"/>
                      <w:szCs w:val="20"/>
                    </w:rPr>
                    <w:t>Best Practice(s)</w:t>
                  </w:r>
                </w:p>
              </w:tc>
            </w:tr>
            <w:tr w:rsidR="00CA7B92" w:rsidRPr="004A43B3" w14:paraId="15C946C1" w14:textId="77777777" w:rsidTr="00E51B78">
              <w:tc>
                <w:tcPr>
                  <w:tcW w:w="4522" w:type="dxa"/>
                  <w:tcBorders>
                    <w:top w:val="nil"/>
                    <w:left w:val="nil"/>
                    <w:bottom w:val="nil"/>
                    <w:right w:val="nil"/>
                  </w:tcBorders>
                </w:tcPr>
                <w:p w14:paraId="73258EA2" w14:textId="4BCF2EAC" w:rsidR="00CA7B92" w:rsidRPr="00E51B78" w:rsidRDefault="00CA7B92" w:rsidP="00E51B78">
                  <w:pPr>
                    <w:spacing w:before="120" w:after="120"/>
                    <w:rPr>
                      <w:rFonts w:ascii="Arial" w:hAnsi="Arial" w:cs="Arial"/>
                      <w:sz w:val="20"/>
                      <w:szCs w:val="20"/>
                    </w:rPr>
                  </w:pPr>
                  <w:r w:rsidRPr="00E51B78">
                    <w:rPr>
                      <w:rFonts w:ascii="Arial" w:hAnsi="Arial" w:cs="Arial"/>
                      <w:sz w:val="20"/>
                      <w:szCs w:val="20"/>
                    </w:rPr>
                    <w:t>Medication not charged for or charged for in a different system, leading to not accumulating for the product within the split</w:t>
                  </w:r>
                  <w:r w:rsidR="00C66D23" w:rsidRPr="00E51B78">
                    <w:rPr>
                      <w:rFonts w:ascii="Arial" w:hAnsi="Arial" w:cs="Arial"/>
                      <w:sz w:val="20"/>
                      <w:szCs w:val="20"/>
                    </w:rPr>
                    <w:t>-</w:t>
                  </w:r>
                  <w:r w:rsidRPr="00E51B78">
                    <w:rPr>
                      <w:rFonts w:ascii="Arial" w:hAnsi="Arial" w:cs="Arial"/>
                      <w:sz w:val="20"/>
                      <w:szCs w:val="20"/>
                    </w:rPr>
                    <w:t>billing software</w:t>
                  </w:r>
                  <w:r w:rsidR="00C66D23" w:rsidRPr="00E51B78">
                    <w:rPr>
                      <w:rFonts w:ascii="Arial" w:hAnsi="Arial" w:cs="Arial"/>
                      <w:sz w:val="20"/>
                      <w:szCs w:val="20"/>
                    </w:rPr>
                    <w:t>.</w:t>
                  </w:r>
                  <w:r w:rsidRPr="00E51B78">
                    <w:rPr>
                      <w:rFonts w:ascii="Arial" w:hAnsi="Arial" w:cs="Arial"/>
                      <w:sz w:val="20"/>
                      <w:szCs w:val="20"/>
                    </w:rPr>
                    <w:t xml:space="preserve"> </w:t>
                  </w:r>
                </w:p>
                <w:p w14:paraId="02DDC8D4" w14:textId="77777777" w:rsidR="00CA7B92" w:rsidRPr="00E51B78" w:rsidRDefault="00CA7B92" w:rsidP="00E51B78">
                  <w:pPr>
                    <w:spacing w:before="120" w:after="120"/>
                    <w:rPr>
                      <w:rFonts w:ascii="Arial" w:hAnsi="Arial" w:cs="Arial"/>
                      <w:sz w:val="20"/>
                      <w:szCs w:val="20"/>
                    </w:rPr>
                  </w:pPr>
                </w:p>
                <w:p w14:paraId="2C346481" w14:textId="77777777" w:rsidR="00AE10F9" w:rsidRPr="004A43B3" w:rsidRDefault="00AE10F9" w:rsidP="00AE10F9">
                  <w:pPr>
                    <w:spacing w:before="120" w:after="120"/>
                    <w:rPr>
                      <w:rFonts w:ascii="Arial" w:hAnsi="Arial" w:cs="Arial"/>
                      <w:sz w:val="20"/>
                      <w:szCs w:val="20"/>
                    </w:rPr>
                  </w:pPr>
                </w:p>
                <w:p w14:paraId="38502B58" w14:textId="77777777" w:rsidR="00AE10F9" w:rsidRPr="004A43B3" w:rsidRDefault="00AE10F9" w:rsidP="00AE10F9">
                  <w:pPr>
                    <w:spacing w:before="120" w:after="120"/>
                    <w:rPr>
                      <w:rFonts w:ascii="Arial" w:hAnsi="Arial" w:cs="Arial"/>
                      <w:sz w:val="20"/>
                      <w:szCs w:val="20"/>
                    </w:rPr>
                  </w:pPr>
                </w:p>
                <w:p w14:paraId="4B716CD7" w14:textId="77777777" w:rsidR="00AE10F9" w:rsidRPr="004A43B3" w:rsidRDefault="00AE10F9" w:rsidP="00AE10F9">
                  <w:pPr>
                    <w:spacing w:before="120" w:after="120"/>
                    <w:rPr>
                      <w:rFonts w:ascii="Arial" w:hAnsi="Arial" w:cs="Arial"/>
                      <w:sz w:val="20"/>
                      <w:szCs w:val="20"/>
                    </w:rPr>
                  </w:pPr>
                </w:p>
                <w:p w14:paraId="116E16C1" w14:textId="769BA0B6" w:rsidR="00CA7B92" w:rsidRPr="00E51B78" w:rsidRDefault="00CA7B92" w:rsidP="00E51B78">
                  <w:pPr>
                    <w:spacing w:before="120" w:after="120"/>
                    <w:rPr>
                      <w:rFonts w:ascii="Arial" w:hAnsi="Arial" w:cs="Arial"/>
                      <w:sz w:val="20"/>
                      <w:szCs w:val="20"/>
                    </w:rPr>
                  </w:pPr>
                  <w:r w:rsidRPr="00E51B78">
                    <w:rPr>
                      <w:rFonts w:ascii="Arial" w:hAnsi="Arial" w:cs="Arial"/>
                      <w:sz w:val="20"/>
                      <w:szCs w:val="20"/>
                    </w:rPr>
                    <w:lastRenderedPageBreak/>
                    <w:t xml:space="preserve">Examples include: </w:t>
                  </w:r>
                </w:p>
                <w:p w14:paraId="476BA443" w14:textId="77777777" w:rsidR="00CA7B92" w:rsidRPr="00E51B78" w:rsidRDefault="00CA7B92" w:rsidP="00E51B78">
                  <w:pPr>
                    <w:pStyle w:val="ListParagraph"/>
                    <w:numPr>
                      <w:ilvl w:val="0"/>
                      <w:numId w:val="22"/>
                    </w:numPr>
                    <w:spacing w:before="120" w:after="120"/>
                    <w:rPr>
                      <w:rFonts w:ascii="Arial" w:hAnsi="Arial" w:cs="Arial"/>
                      <w:sz w:val="20"/>
                      <w:szCs w:val="20"/>
                    </w:rPr>
                  </w:pPr>
                  <w:r w:rsidRPr="00E51B78">
                    <w:rPr>
                      <w:rFonts w:ascii="Arial" w:hAnsi="Arial" w:cs="Arial"/>
                      <w:sz w:val="20"/>
                      <w:szCs w:val="20"/>
                    </w:rPr>
                    <w:t>Code cart medications that are not separately billed</w:t>
                  </w:r>
                </w:p>
                <w:p w14:paraId="07896706" w14:textId="77777777" w:rsidR="00CA7B92" w:rsidRPr="00E51B78" w:rsidRDefault="00CA7B92" w:rsidP="00E51B78">
                  <w:pPr>
                    <w:pStyle w:val="ListParagraph"/>
                    <w:numPr>
                      <w:ilvl w:val="0"/>
                      <w:numId w:val="22"/>
                    </w:numPr>
                    <w:spacing w:before="120" w:after="120"/>
                    <w:contextualSpacing w:val="0"/>
                    <w:rPr>
                      <w:rFonts w:ascii="Arial" w:hAnsi="Arial" w:cs="Arial"/>
                      <w:sz w:val="20"/>
                      <w:szCs w:val="20"/>
                    </w:rPr>
                  </w:pPr>
                  <w:r w:rsidRPr="00E51B78">
                    <w:rPr>
                      <w:rFonts w:ascii="Arial" w:hAnsi="Arial" w:cs="Arial"/>
                      <w:sz w:val="20"/>
                      <w:szCs w:val="20"/>
                    </w:rPr>
                    <w:t xml:space="preserve">Medications administered or billed through a different system (e.g., the OR) </w:t>
                  </w:r>
                </w:p>
                <w:p w14:paraId="3D420C00" w14:textId="46D016DF" w:rsidR="00CA7B92" w:rsidRPr="00E51B78" w:rsidRDefault="00CA7B92" w:rsidP="00E51B78">
                  <w:pPr>
                    <w:pStyle w:val="ListParagraph"/>
                    <w:numPr>
                      <w:ilvl w:val="0"/>
                      <w:numId w:val="22"/>
                    </w:numPr>
                    <w:spacing w:before="120" w:after="120"/>
                    <w:rPr>
                      <w:rFonts w:ascii="Arial" w:hAnsi="Arial" w:cs="Arial"/>
                      <w:sz w:val="20"/>
                      <w:szCs w:val="20"/>
                    </w:rPr>
                  </w:pPr>
                  <w:r w:rsidRPr="00E51B78">
                    <w:rPr>
                      <w:rFonts w:ascii="Arial" w:hAnsi="Arial" w:cs="Arial"/>
                      <w:sz w:val="20"/>
                      <w:szCs w:val="20"/>
                    </w:rPr>
                    <w:t>Areas that bundle</w:t>
                  </w:r>
                  <w:r w:rsidR="00C66D23" w:rsidRPr="00E51B78">
                    <w:rPr>
                      <w:rFonts w:ascii="Arial" w:hAnsi="Arial" w:cs="Arial"/>
                      <w:sz w:val="20"/>
                      <w:szCs w:val="20"/>
                    </w:rPr>
                    <w:t>-</w:t>
                  </w:r>
                  <w:r w:rsidRPr="00E51B78">
                    <w:rPr>
                      <w:rFonts w:ascii="Arial" w:hAnsi="Arial" w:cs="Arial"/>
                      <w:sz w:val="20"/>
                      <w:szCs w:val="20"/>
                    </w:rPr>
                    <w:t xml:space="preserve">bill and therefore do not submit individual charges (e.g., </w:t>
                  </w:r>
                  <w:r w:rsidR="00E707A0" w:rsidRPr="00E51B78">
                    <w:rPr>
                      <w:rFonts w:ascii="Arial" w:hAnsi="Arial" w:cs="Arial"/>
                      <w:sz w:val="20"/>
                      <w:szCs w:val="20"/>
                    </w:rPr>
                    <w:t>bone marrow transplant [</w:t>
                  </w:r>
                  <w:r w:rsidRPr="00E51B78">
                    <w:rPr>
                      <w:rFonts w:ascii="Arial" w:hAnsi="Arial" w:cs="Arial"/>
                      <w:sz w:val="20"/>
                      <w:szCs w:val="20"/>
                    </w:rPr>
                    <w:t>BMT</w:t>
                  </w:r>
                  <w:r w:rsidR="00E707A0" w:rsidRPr="00E51B78">
                    <w:rPr>
                      <w:rFonts w:ascii="Arial" w:hAnsi="Arial" w:cs="Arial"/>
                      <w:sz w:val="20"/>
                      <w:szCs w:val="20"/>
                    </w:rPr>
                    <w:t>]</w:t>
                  </w:r>
                  <w:r w:rsidRPr="00E51B78">
                    <w:rPr>
                      <w:rFonts w:ascii="Arial" w:hAnsi="Arial" w:cs="Arial"/>
                      <w:sz w:val="20"/>
                      <w:szCs w:val="20"/>
                    </w:rPr>
                    <w:t>)</w:t>
                  </w:r>
                </w:p>
                <w:p w14:paraId="29D32608" w14:textId="1B954D7A" w:rsidR="00CA7B92" w:rsidRPr="00E51B78" w:rsidRDefault="00CA7B92" w:rsidP="00E51B78">
                  <w:pPr>
                    <w:pStyle w:val="ListParagraph"/>
                    <w:numPr>
                      <w:ilvl w:val="0"/>
                      <w:numId w:val="22"/>
                    </w:numPr>
                    <w:spacing w:before="120" w:after="120"/>
                    <w:rPr>
                      <w:rFonts w:ascii="Arial" w:hAnsi="Arial" w:cs="Arial"/>
                      <w:sz w:val="20"/>
                      <w:szCs w:val="20"/>
                    </w:rPr>
                  </w:pPr>
                  <w:r w:rsidRPr="00E51B78">
                    <w:rPr>
                      <w:rFonts w:ascii="Arial" w:hAnsi="Arial" w:cs="Arial"/>
                      <w:sz w:val="20"/>
                      <w:szCs w:val="20"/>
                    </w:rPr>
                    <w:t xml:space="preserve">Ambulance or other emergency response services </w:t>
                  </w:r>
                </w:p>
              </w:tc>
              <w:tc>
                <w:tcPr>
                  <w:tcW w:w="4522" w:type="dxa"/>
                  <w:tcBorders>
                    <w:top w:val="nil"/>
                    <w:left w:val="nil"/>
                    <w:bottom w:val="nil"/>
                    <w:right w:val="nil"/>
                  </w:tcBorders>
                </w:tcPr>
                <w:p w14:paraId="2466C611" w14:textId="33B63374" w:rsidR="00CA7B92" w:rsidRPr="00E51B78" w:rsidRDefault="00CA7B92" w:rsidP="00E51B78">
                  <w:pPr>
                    <w:pStyle w:val="ListParagraph"/>
                    <w:numPr>
                      <w:ilvl w:val="0"/>
                      <w:numId w:val="21"/>
                    </w:numPr>
                    <w:spacing w:before="120" w:after="120"/>
                    <w:ind w:left="346"/>
                    <w:rPr>
                      <w:rFonts w:ascii="Arial" w:hAnsi="Arial" w:cs="Arial"/>
                      <w:sz w:val="20"/>
                      <w:szCs w:val="20"/>
                    </w:rPr>
                  </w:pPr>
                  <w:r w:rsidRPr="00E51B78">
                    <w:rPr>
                      <w:rFonts w:ascii="Arial" w:hAnsi="Arial" w:cs="Arial"/>
                      <w:sz w:val="20"/>
                      <w:szCs w:val="20"/>
                    </w:rPr>
                    <w:lastRenderedPageBreak/>
                    <w:t>Implement a manual billing capture system and maintain auditable records to support use of a 340B purchased product for a 340B eligible patient</w:t>
                  </w:r>
                  <w:r w:rsidR="00C66D23" w:rsidRPr="00E51B78">
                    <w:rPr>
                      <w:rFonts w:ascii="Arial" w:hAnsi="Arial" w:cs="Arial"/>
                      <w:sz w:val="20"/>
                      <w:szCs w:val="20"/>
                    </w:rPr>
                    <w:t>.</w:t>
                  </w:r>
                  <w:r w:rsidRPr="00E51B78">
                    <w:rPr>
                      <w:rFonts w:ascii="Arial" w:hAnsi="Arial" w:cs="Arial"/>
                      <w:sz w:val="20"/>
                      <w:szCs w:val="20"/>
                    </w:rPr>
                    <w:t xml:space="preserve"> </w:t>
                  </w:r>
                </w:p>
              </w:tc>
            </w:tr>
            <w:tr w:rsidR="00CA7B92" w:rsidRPr="004A43B3" w14:paraId="34478BCA" w14:textId="77777777" w:rsidTr="00E51B78">
              <w:tc>
                <w:tcPr>
                  <w:tcW w:w="4522" w:type="dxa"/>
                  <w:tcBorders>
                    <w:top w:val="nil"/>
                    <w:left w:val="nil"/>
                    <w:bottom w:val="nil"/>
                    <w:right w:val="nil"/>
                  </w:tcBorders>
                </w:tcPr>
                <w:p w14:paraId="65AC2603" w14:textId="3C221C8F" w:rsidR="00CA7B92" w:rsidRPr="00E51B78" w:rsidRDefault="00CA7B92" w:rsidP="00E51B78">
                  <w:pPr>
                    <w:spacing w:before="120" w:after="120"/>
                    <w:rPr>
                      <w:rFonts w:ascii="Arial" w:hAnsi="Arial" w:cs="Arial"/>
                      <w:sz w:val="20"/>
                      <w:szCs w:val="20"/>
                    </w:rPr>
                  </w:pPr>
                  <w:r w:rsidRPr="00E51B78">
                    <w:rPr>
                      <w:rFonts w:ascii="Arial" w:hAnsi="Arial" w:cs="Arial"/>
                      <w:sz w:val="20"/>
                      <w:szCs w:val="20"/>
                    </w:rPr>
                    <w:t>Other charge capture issue, leading to not partially or fully accumulating for products (e.g., medications dispensed as a bulk product, such as inhalers or creams)</w:t>
                  </w:r>
                  <w:r w:rsidR="00C66D23" w:rsidRPr="00E51B78">
                    <w:rPr>
                      <w:rFonts w:ascii="Arial" w:hAnsi="Arial" w:cs="Arial"/>
                      <w:sz w:val="20"/>
                      <w:szCs w:val="20"/>
                    </w:rPr>
                    <w:t>.</w:t>
                  </w:r>
                  <w:r w:rsidRPr="00E51B78">
                    <w:rPr>
                      <w:rFonts w:ascii="Arial" w:hAnsi="Arial" w:cs="Arial"/>
                      <w:sz w:val="20"/>
                      <w:szCs w:val="20"/>
                    </w:rPr>
                    <w:t xml:space="preserve"> </w:t>
                  </w:r>
                </w:p>
              </w:tc>
              <w:tc>
                <w:tcPr>
                  <w:tcW w:w="4522" w:type="dxa"/>
                  <w:tcBorders>
                    <w:top w:val="nil"/>
                    <w:left w:val="nil"/>
                    <w:bottom w:val="nil"/>
                    <w:right w:val="nil"/>
                  </w:tcBorders>
                </w:tcPr>
                <w:p w14:paraId="183B415F" w14:textId="49CA0D72" w:rsidR="00CA7B92" w:rsidRPr="00E51B78" w:rsidRDefault="001950B9" w:rsidP="00E51B78">
                  <w:pPr>
                    <w:pStyle w:val="ListParagraph"/>
                    <w:numPr>
                      <w:ilvl w:val="0"/>
                      <w:numId w:val="21"/>
                    </w:numPr>
                    <w:spacing w:before="120" w:after="120"/>
                    <w:ind w:left="346"/>
                    <w:rPr>
                      <w:rFonts w:ascii="Arial" w:hAnsi="Arial" w:cs="Arial"/>
                      <w:sz w:val="20"/>
                      <w:szCs w:val="20"/>
                    </w:rPr>
                  </w:pPr>
                  <w:r w:rsidRPr="00E51B78">
                    <w:rPr>
                      <w:rFonts w:ascii="Arial" w:hAnsi="Arial" w:cs="Arial"/>
                      <w:noProof/>
                      <w:sz w:val="20"/>
                      <w:szCs w:val="20"/>
                    </w:rPr>
                    <mc:AlternateContent>
                      <mc:Choice Requires="wps">
                        <w:drawing>
                          <wp:anchor distT="0" distB="0" distL="114300" distR="114300" simplePos="0" relativeHeight="251658752" behindDoc="0" locked="0" layoutInCell="1" allowOverlap="1" wp14:anchorId="10E5A8DB" wp14:editId="7FA4607A">
                            <wp:simplePos x="0" y="0"/>
                            <wp:positionH relativeFrom="column">
                              <wp:posOffset>-2856230</wp:posOffset>
                            </wp:positionH>
                            <wp:positionV relativeFrom="paragraph">
                              <wp:posOffset>22860</wp:posOffset>
                            </wp:positionV>
                            <wp:extent cx="55721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5721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8F20E" id="Straight Connector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9pt,1.8pt" to="213.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" strokecolor="black [3213]" strokeweight=".5pt">
                            <v:stroke joinstyle="miter"/>
                          </v:line>
                        </w:pict>
                      </mc:Fallback>
                    </mc:AlternateContent>
                  </w:r>
                  <w:r w:rsidR="00CA7B92" w:rsidRPr="00E51B78">
                    <w:rPr>
                      <w:rFonts w:ascii="Arial" w:hAnsi="Arial" w:cs="Arial"/>
                      <w:sz w:val="20"/>
                      <w:szCs w:val="20"/>
                    </w:rPr>
                    <w:t>Consider optimizing billing for bulk dispensed medications</w:t>
                  </w:r>
                  <w:r w:rsidR="005679D8" w:rsidRPr="00E51B78">
                    <w:rPr>
                      <w:rFonts w:ascii="Arial" w:hAnsi="Arial" w:cs="Arial"/>
                      <w:sz w:val="20"/>
                      <w:szCs w:val="20"/>
                    </w:rPr>
                    <w:t xml:space="preserve"> (e.g., bill for the entire </w:t>
                  </w:r>
                  <w:r w:rsidR="0084686A" w:rsidRPr="00E51B78">
                    <w:rPr>
                      <w:rFonts w:ascii="Arial" w:hAnsi="Arial" w:cs="Arial"/>
                      <w:sz w:val="20"/>
                      <w:szCs w:val="20"/>
                    </w:rPr>
                    <w:t>inhaler or tube of cream)</w:t>
                  </w:r>
                  <w:r w:rsidR="00CA7B92" w:rsidRPr="00E51B78">
                    <w:rPr>
                      <w:rFonts w:ascii="Arial" w:hAnsi="Arial" w:cs="Arial"/>
                      <w:sz w:val="20"/>
                      <w:szCs w:val="20"/>
                    </w:rPr>
                    <w:t xml:space="preserve"> if possible, keeping in mind billing compliance requirements</w:t>
                  </w:r>
                  <w:r w:rsidR="00C66D23" w:rsidRPr="00E51B78">
                    <w:rPr>
                      <w:rFonts w:ascii="Arial" w:hAnsi="Arial" w:cs="Arial"/>
                      <w:sz w:val="20"/>
                      <w:szCs w:val="20"/>
                    </w:rPr>
                    <w:t>.</w:t>
                  </w:r>
                </w:p>
              </w:tc>
            </w:tr>
          </w:tbl>
          <w:p w14:paraId="5A068C63" w14:textId="77777777" w:rsidR="00F72C2E" w:rsidRPr="00E51B78" w:rsidRDefault="00F72C2E">
            <w:pPr>
              <w:rPr>
                <w:rFonts w:ascii="Arial" w:hAnsi="Arial" w:cs="Arial"/>
                <w:sz w:val="20"/>
                <w:szCs w:val="20"/>
              </w:rPr>
            </w:pPr>
          </w:p>
        </w:tc>
      </w:tr>
      <w:tr w:rsidR="00157D40" w:rsidRPr="00157D40" w14:paraId="35946A45" w14:textId="77777777" w:rsidTr="00E51B78">
        <w:tc>
          <w:tcPr>
            <w:tcW w:w="16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D867F4" w14:textId="1534C429" w:rsidR="00157D40" w:rsidRPr="00E51B78" w:rsidRDefault="00505397" w:rsidP="00E51B78">
            <w:pPr>
              <w:spacing w:before="240"/>
              <w:rPr>
                <w:rFonts w:ascii="Arial" w:hAnsi="Arial" w:cs="Arial"/>
                <w:sz w:val="20"/>
                <w:szCs w:val="20"/>
              </w:rPr>
            </w:pPr>
            <w:r w:rsidRPr="00E51B78">
              <w:rPr>
                <w:rFonts w:ascii="Arial" w:hAnsi="Arial" w:cs="Arial"/>
                <w:sz w:val="20"/>
                <w:szCs w:val="20"/>
              </w:rPr>
              <w:lastRenderedPageBreak/>
              <w:t>3</w:t>
            </w:r>
            <w:r w:rsidR="00A24710" w:rsidRPr="00E51B78">
              <w:rPr>
                <w:rFonts w:ascii="Arial" w:hAnsi="Arial" w:cs="Arial"/>
                <w:sz w:val="20"/>
                <w:szCs w:val="20"/>
              </w:rPr>
              <w:t xml:space="preserve">c: Review product/NDC setup in the </w:t>
            </w:r>
            <w:r w:rsidR="00CA7B92" w:rsidRPr="00E51B78">
              <w:rPr>
                <w:rFonts w:ascii="Arial" w:hAnsi="Arial" w:cs="Arial"/>
                <w:sz w:val="20"/>
                <w:szCs w:val="20"/>
              </w:rPr>
              <w:t>340B split</w:t>
            </w:r>
            <w:r w:rsidR="00C66D23" w:rsidRPr="00E51B78">
              <w:rPr>
                <w:rFonts w:ascii="Arial" w:hAnsi="Arial" w:cs="Arial"/>
                <w:sz w:val="20"/>
                <w:szCs w:val="20"/>
              </w:rPr>
              <w:t>-</w:t>
            </w:r>
            <w:r w:rsidR="00CA7B92" w:rsidRPr="00E51B78">
              <w:rPr>
                <w:rFonts w:ascii="Arial" w:hAnsi="Arial" w:cs="Arial"/>
                <w:sz w:val="20"/>
                <w:szCs w:val="20"/>
              </w:rPr>
              <w:t xml:space="preserve">billing software system </w:t>
            </w:r>
          </w:p>
          <w:p w14:paraId="2218EB96" w14:textId="77777777" w:rsidR="00157D40" w:rsidRPr="00E51B78" w:rsidRDefault="00157D40" w:rsidP="00306932">
            <w:pPr>
              <w:rPr>
                <w:rFonts w:ascii="Arial" w:hAnsi="Arial" w:cs="Arial"/>
                <w:sz w:val="20"/>
                <w:szCs w:val="20"/>
              </w:rPr>
            </w:pPr>
          </w:p>
        </w:tc>
        <w:tc>
          <w:tcPr>
            <w:tcW w:w="8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D87D683" w14:textId="77777777" w:rsidR="00F24C87" w:rsidRPr="00E51B78" w:rsidRDefault="00F24C87" w:rsidP="00F24C87">
            <w:pPr>
              <w:tabs>
                <w:tab w:val="left" w:pos="2385"/>
              </w:tabs>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3"/>
              <w:gridCol w:w="4371"/>
            </w:tblGrid>
            <w:tr w:rsidR="00F24C87" w:rsidRPr="004A43B3" w14:paraId="34B6D5F7" w14:textId="77777777" w:rsidTr="00E51B78">
              <w:trPr>
                <w:trHeight w:val="326"/>
              </w:trPr>
              <w:tc>
                <w:tcPr>
                  <w:tcW w:w="4522" w:type="dxa"/>
                </w:tcPr>
                <w:p w14:paraId="30AB44B1" w14:textId="77777777" w:rsidR="00F24C87" w:rsidRPr="00E51B78" w:rsidRDefault="00F24C87" w:rsidP="00F24C87">
                  <w:pPr>
                    <w:rPr>
                      <w:rFonts w:ascii="Arial" w:hAnsi="Arial" w:cs="Arial"/>
                      <w:b/>
                      <w:bCs/>
                      <w:color w:val="5B9BD5" w:themeColor="accent1"/>
                      <w:sz w:val="20"/>
                      <w:szCs w:val="20"/>
                    </w:rPr>
                  </w:pPr>
                  <w:r w:rsidRPr="00E51B78">
                    <w:rPr>
                      <w:rFonts w:ascii="Arial" w:hAnsi="Arial" w:cs="Arial"/>
                      <w:b/>
                      <w:bCs/>
                      <w:color w:val="5B9BD5" w:themeColor="accent1"/>
                      <w:sz w:val="20"/>
                      <w:szCs w:val="20"/>
                    </w:rPr>
                    <w:t>Root Cause</w:t>
                  </w:r>
                </w:p>
              </w:tc>
              <w:tc>
                <w:tcPr>
                  <w:tcW w:w="4522" w:type="dxa"/>
                </w:tcPr>
                <w:p w14:paraId="357716EA" w14:textId="77777777" w:rsidR="00F24C87" w:rsidRPr="00E51B78" w:rsidRDefault="00F24C87" w:rsidP="00F24C87">
                  <w:pPr>
                    <w:rPr>
                      <w:rFonts w:ascii="Arial" w:hAnsi="Arial" w:cs="Arial"/>
                      <w:b/>
                      <w:bCs/>
                      <w:color w:val="5B9BD5" w:themeColor="accent1"/>
                      <w:sz w:val="20"/>
                      <w:szCs w:val="20"/>
                    </w:rPr>
                  </w:pPr>
                  <w:r w:rsidRPr="00E51B78">
                    <w:rPr>
                      <w:rFonts w:ascii="Arial" w:hAnsi="Arial" w:cs="Arial"/>
                      <w:b/>
                      <w:bCs/>
                      <w:color w:val="5B9BD5" w:themeColor="accent1"/>
                      <w:sz w:val="20"/>
                      <w:szCs w:val="20"/>
                    </w:rPr>
                    <w:t>Best Practice(s)</w:t>
                  </w:r>
                </w:p>
              </w:tc>
            </w:tr>
            <w:tr w:rsidR="00F24C87" w:rsidRPr="004A43B3" w14:paraId="1AA3B5E0" w14:textId="77777777" w:rsidTr="00E51B78">
              <w:tc>
                <w:tcPr>
                  <w:tcW w:w="4522" w:type="dxa"/>
                  <w:tcBorders>
                    <w:bottom w:val="single" w:sz="4" w:space="0" w:color="auto"/>
                  </w:tcBorders>
                </w:tcPr>
                <w:p w14:paraId="3153C3A9" w14:textId="20271335" w:rsidR="00F24C87" w:rsidRPr="00E51B78" w:rsidRDefault="0059289C" w:rsidP="00E51B78">
                  <w:pPr>
                    <w:spacing w:before="120"/>
                    <w:contextualSpacing/>
                    <w:rPr>
                      <w:rFonts w:ascii="Arial" w:hAnsi="Arial" w:cs="Arial"/>
                      <w:sz w:val="20"/>
                      <w:szCs w:val="20"/>
                    </w:rPr>
                  </w:pPr>
                  <w:r w:rsidRPr="00E51B78">
                    <w:rPr>
                      <w:rFonts w:ascii="Arial" w:hAnsi="Arial" w:cs="Arial"/>
                      <w:sz w:val="20"/>
                      <w:szCs w:val="20"/>
                    </w:rPr>
                    <w:t>NDC not mapped (or incorrectly mapped) to the CDM within the split</w:t>
                  </w:r>
                  <w:r w:rsidR="00505397" w:rsidRPr="00E51B78">
                    <w:rPr>
                      <w:rFonts w:ascii="Arial" w:hAnsi="Arial" w:cs="Arial"/>
                      <w:sz w:val="20"/>
                      <w:szCs w:val="20"/>
                    </w:rPr>
                    <w:t>-</w:t>
                  </w:r>
                  <w:r w:rsidRPr="00E51B78">
                    <w:rPr>
                      <w:rFonts w:ascii="Arial" w:hAnsi="Arial" w:cs="Arial"/>
                      <w:sz w:val="20"/>
                      <w:szCs w:val="20"/>
                    </w:rPr>
                    <w:t>billing software crosswalk, leading to not accumulating</w:t>
                  </w:r>
                  <w:r w:rsidR="0084686A" w:rsidRPr="00E51B78">
                    <w:rPr>
                      <w:rFonts w:ascii="Arial" w:hAnsi="Arial" w:cs="Arial"/>
                      <w:sz w:val="20"/>
                      <w:szCs w:val="20"/>
                    </w:rPr>
                    <w:t xml:space="preserve"> (or incorrectly accumulating)</w:t>
                  </w:r>
                  <w:r w:rsidRPr="00E51B78">
                    <w:rPr>
                      <w:rFonts w:ascii="Arial" w:hAnsi="Arial" w:cs="Arial"/>
                      <w:sz w:val="20"/>
                      <w:szCs w:val="20"/>
                    </w:rPr>
                    <w:t xml:space="preserve"> </w:t>
                  </w:r>
                  <w:r w:rsidR="0084608D" w:rsidRPr="00E51B78">
                    <w:rPr>
                      <w:rFonts w:ascii="Arial" w:hAnsi="Arial" w:cs="Arial"/>
                      <w:sz w:val="20"/>
                      <w:szCs w:val="20"/>
                    </w:rPr>
                    <w:t xml:space="preserve">on </w:t>
                  </w:r>
                  <w:r w:rsidRPr="00E51B78">
                    <w:rPr>
                      <w:rFonts w:ascii="Arial" w:hAnsi="Arial" w:cs="Arial"/>
                      <w:sz w:val="20"/>
                      <w:szCs w:val="20"/>
                    </w:rPr>
                    <w:t xml:space="preserve">the </w:t>
                  </w:r>
                  <w:r w:rsidR="008C047E" w:rsidRPr="00E51B78">
                    <w:rPr>
                      <w:rFonts w:ascii="Arial" w:hAnsi="Arial" w:cs="Arial"/>
                      <w:sz w:val="20"/>
                      <w:szCs w:val="20"/>
                    </w:rPr>
                    <w:t>NDC</w:t>
                  </w:r>
                </w:p>
                <w:p w14:paraId="2E01CA23" w14:textId="77777777" w:rsidR="00D22665" w:rsidRPr="00E51B78" w:rsidRDefault="00D22665" w:rsidP="00F24C87">
                  <w:pPr>
                    <w:rPr>
                      <w:rFonts w:ascii="Arial" w:hAnsi="Arial" w:cs="Arial"/>
                      <w:sz w:val="20"/>
                      <w:szCs w:val="20"/>
                    </w:rPr>
                  </w:pPr>
                </w:p>
                <w:p w14:paraId="653B3F18" w14:textId="5C00217C" w:rsidR="00D22665" w:rsidRPr="00E51B78" w:rsidRDefault="00842ECA" w:rsidP="00E51B78">
                  <w:pPr>
                    <w:spacing w:after="120"/>
                    <w:rPr>
                      <w:rFonts w:ascii="Arial" w:hAnsi="Arial" w:cs="Arial"/>
                      <w:sz w:val="20"/>
                      <w:szCs w:val="20"/>
                    </w:rPr>
                  </w:pPr>
                  <w:r w:rsidRPr="00E51B78">
                    <w:rPr>
                      <w:rFonts w:ascii="Arial" w:hAnsi="Arial" w:cs="Arial"/>
                      <w:sz w:val="20"/>
                      <w:szCs w:val="20"/>
                    </w:rPr>
                    <w:t>For areas with a virtual replenishment inventory model, the split</w:t>
                  </w:r>
                  <w:r w:rsidR="00505397" w:rsidRPr="00E51B78">
                    <w:rPr>
                      <w:rFonts w:ascii="Arial" w:hAnsi="Arial" w:cs="Arial"/>
                      <w:sz w:val="20"/>
                      <w:szCs w:val="20"/>
                    </w:rPr>
                    <w:t>-</w:t>
                  </w:r>
                  <w:r w:rsidRPr="00E51B78">
                    <w:rPr>
                      <w:rFonts w:ascii="Arial" w:hAnsi="Arial" w:cs="Arial"/>
                      <w:sz w:val="20"/>
                      <w:szCs w:val="20"/>
                    </w:rPr>
                    <w:t>billing software will direct all purchases of a new NDC to the WAC account until the NDC is mapped to a CDM</w:t>
                  </w:r>
                  <w:r w:rsidR="00505397" w:rsidRPr="00E51B78">
                    <w:rPr>
                      <w:rFonts w:ascii="Arial" w:hAnsi="Arial" w:cs="Arial"/>
                      <w:sz w:val="20"/>
                      <w:szCs w:val="20"/>
                    </w:rPr>
                    <w:t>.</w:t>
                  </w:r>
                  <w:r w:rsidRPr="00E51B78">
                    <w:rPr>
                      <w:rFonts w:ascii="Arial" w:hAnsi="Arial" w:cs="Arial"/>
                      <w:sz w:val="20"/>
                      <w:szCs w:val="20"/>
                    </w:rPr>
                    <w:t xml:space="preserve"> </w:t>
                  </w:r>
                </w:p>
              </w:tc>
              <w:tc>
                <w:tcPr>
                  <w:tcW w:w="4522" w:type="dxa"/>
                  <w:tcBorders>
                    <w:bottom w:val="single" w:sz="4" w:space="0" w:color="auto"/>
                  </w:tcBorders>
                </w:tcPr>
                <w:p w14:paraId="12331CB9" w14:textId="2084F931" w:rsidR="00F24C87" w:rsidRPr="00E51B78" w:rsidRDefault="0059289C" w:rsidP="00E51B78">
                  <w:pPr>
                    <w:pStyle w:val="ListParagraph"/>
                    <w:numPr>
                      <w:ilvl w:val="0"/>
                      <w:numId w:val="18"/>
                    </w:numPr>
                    <w:spacing w:before="100" w:beforeAutospacing="1"/>
                    <w:ind w:left="346"/>
                    <w:rPr>
                      <w:rFonts w:ascii="Arial" w:hAnsi="Arial" w:cs="Arial"/>
                      <w:sz w:val="20"/>
                      <w:szCs w:val="20"/>
                    </w:rPr>
                  </w:pPr>
                  <w:r w:rsidRPr="00E51B78">
                    <w:rPr>
                      <w:rFonts w:ascii="Arial" w:hAnsi="Arial" w:cs="Arial"/>
                      <w:sz w:val="20"/>
                      <w:szCs w:val="20"/>
                    </w:rPr>
                    <w:t>Map the NDC to the CDM</w:t>
                  </w:r>
                  <w:r w:rsidR="00505397" w:rsidRPr="00E51B78">
                    <w:rPr>
                      <w:rFonts w:ascii="Arial" w:hAnsi="Arial" w:cs="Arial"/>
                      <w:sz w:val="20"/>
                      <w:szCs w:val="20"/>
                    </w:rPr>
                    <w:t>.</w:t>
                  </w:r>
                  <w:r w:rsidRPr="00E51B78">
                    <w:rPr>
                      <w:rFonts w:ascii="Arial" w:hAnsi="Arial" w:cs="Arial"/>
                      <w:sz w:val="20"/>
                      <w:szCs w:val="20"/>
                    </w:rPr>
                    <w:t xml:space="preserve"> </w:t>
                  </w:r>
                </w:p>
                <w:p w14:paraId="1B655CBE" w14:textId="22131C3A" w:rsidR="0001431E" w:rsidRPr="00E51B78" w:rsidRDefault="0001431E" w:rsidP="00E51B78">
                  <w:pPr>
                    <w:pStyle w:val="ListParagraph"/>
                    <w:numPr>
                      <w:ilvl w:val="0"/>
                      <w:numId w:val="18"/>
                    </w:numPr>
                    <w:spacing w:before="100" w:beforeAutospacing="1"/>
                    <w:ind w:left="346"/>
                    <w:rPr>
                      <w:rFonts w:ascii="Arial" w:hAnsi="Arial" w:cs="Arial"/>
                      <w:sz w:val="20"/>
                      <w:szCs w:val="20"/>
                    </w:rPr>
                  </w:pPr>
                  <w:r w:rsidRPr="00E51B78">
                    <w:rPr>
                      <w:rFonts w:ascii="Arial" w:hAnsi="Arial" w:cs="Arial"/>
                      <w:sz w:val="20"/>
                      <w:szCs w:val="20"/>
                    </w:rPr>
                    <w:t xml:space="preserve">Implement a process to </w:t>
                  </w:r>
                  <w:r w:rsidR="00111B61" w:rsidRPr="00E51B78">
                    <w:rPr>
                      <w:rFonts w:ascii="Arial" w:hAnsi="Arial" w:cs="Arial"/>
                      <w:sz w:val="20"/>
                      <w:szCs w:val="20"/>
                    </w:rPr>
                    <w:t xml:space="preserve">proactively </w:t>
                  </w:r>
                  <w:r w:rsidRPr="00E51B78">
                    <w:rPr>
                      <w:rFonts w:ascii="Arial" w:hAnsi="Arial" w:cs="Arial"/>
                      <w:sz w:val="20"/>
                      <w:szCs w:val="20"/>
                    </w:rPr>
                    <w:t xml:space="preserve">review and map the unmapped CDMs and NDCs </w:t>
                  </w:r>
                  <w:r w:rsidR="009E0748" w:rsidRPr="00E51B78">
                    <w:rPr>
                      <w:rFonts w:ascii="Arial" w:hAnsi="Arial" w:cs="Arial"/>
                      <w:sz w:val="20"/>
                      <w:szCs w:val="20"/>
                    </w:rPr>
                    <w:t>(many split</w:t>
                  </w:r>
                  <w:r w:rsidR="00505397" w:rsidRPr="00E51B78">
                    <w:rPr>
                      <w:rFonts w:ascii="Arial" w:hAnsi="Arial" w:cs="Arial"/>
                      <w:sz w:val="20"/>
                      <w:szCs w:val="20"/>
                    </w:rPr>
                    <w:t>-</w:t>
                  </w:r>
                  <w:r w:rsidR="009E0748" w:rsidRPr="00E51B78">
                    <w:rPr>
                      <w:rFonts w:ascii="Arial" w:hAnsi="Arial" w:cs="Arial"/>
                      <w:sz w:val="20"/>
                      <w:szCs w:val="20"/>
                    </w:rPr>
                    <w:t xml:space="preserve">billing software vendors will have a report or </w:t>
                  </w:r>
                  <w:r w:rsidR="00D6653B" w:rsidRPr="00E51B78">
                    <w:rPr>
                      <w:rFonts w:ascii="Arial" w:hAnsi="Arial" w:cs="Arial"/>
                      <w:sz w:val="20"/>
                      <w:szCs w:val="20"/>
                    </w:rPr>
                    <w:t>functionality to identify unmapped CDMs and NDCs)</w:t>
                  </w:r>
                  <w:r w:rsidR="00505397" w:rsidRPr="00E51B78">
                    <w:rPr>
                      <w:rFonts w:ascii="Arial" w:hAnsi="Arial" w:cs="Arial"/>
                      <w:sz w:val="20"/>
                      <w:szCs w:val="20"/>
                    </w:rPr>
                    <w:t>.</w:t>
                  </w:r>
                </w:p>
              </w:tc>
            </w:tr>
            <w:tr w:rsidR="00F24C87" w:rsidRPr="004A43B3" w14:paraId="288917D9" w14:textId="77777777" w:rsidTr="00E51B78">
              <w:tc>
                <w:tcPr>
                  <w:tcW w:w="4522" w:type="dxa"/>
                  <w:tcBorders>
                    <w:top w:val="single" w:sz="4" w:space="0" w:color="auto"/>
                    <w:bottom w:val="single" w:sz="4" w:space="0" w:color="auto"/>
                  </w:tcBorders>
                  <w:shd w:val="clear" w:color="auto" w:fill="auto"/>
                </w:tcPr>
                <w:p w14:paraId="78032BD6" w14:textId="4965C395" w:rsidR="008B14B2" w:rsidRPr="00E51B78" w:rsidRDefault="0059289C" w:rsidP="00E51B78">
                  <w:pPr>
                    <w:spacing w:before="120"/>
                    <w:rPr>
                      <w:rFonts w:ascii="Arial" w:hAnsi="Arial" w:cs="Arial"/>
                      <w:sz w:val="20"/>
                      <w:szCs w:val="20"/>
                    </w:rPr>
                  </w:pPr>
                  <w:r w:rsidRPr="00E51B78">
                    <w:rPr>
                      <w:rFonts w:ascii="Arial" w:hAnsi="Arial" w:cs="Arial"/>
                      <w:sz w:val="20"/>
                      <w:szCs w:val="20"/>
                    </w:rPr>
                    <w:t>Incorrect billing units per package (BUPP) assigned to the CDM</w:t>
                  </w:r>
                  <w:r w:rsidR="00505397" w:rsidRPr="00E51B78">
                    <w:rPr>
                      <w:rFonts w:ascii="Arial" w:hAnsi="Arial" w:cs="Arial"/>
                      <w:sz w:val="20"/>
                      <w:szCs w:val="20"/>
                    </w:rPr>
                    <w:t>–</w:t>
                  </w:r>
                  <w:r w:rsidRPr="00E51B78">
                    <w:rPr>
                      <w:rFonts w:ascii="Arial" w:hAnsi="Arial" w:cs="Arial"/>
                      <w:sz w:val="20"/>
                      <w:szCs w:val="20"/>
                    </w:rPr>
                    <w:t>NDC relationship, leading to incorrect accumulation</w:t>
                  </w:r>
                  <w:r w:rsidR="008C047E" w:rsidRPr="00E51B78">
                    <w:rPr>
                      <w:rFonts w:ascii="Arial" w:hAnsi="Arial" w:cs="Arial"/>
                      <w:sz w:val="20"/>
                      <w:szCs w:val="20"/>
                    </w:rPr>
                    <w:t xml:space="preserve"> of the NDC</w:t>
                  </w:r>
                </w:p>
                <w:p w14:paraId="1585057B" w14:textId="49BDD02E" w:rsidR="004847B1" w:rsidRPr="00E51B78" w:rsidRDefault="00164D9F" w:rsidP="00E51B78">
                  <w:pPr>
                    <w:spacing w:before="120"/>
                    <w:rPr>
                      <w:rFonts w:ascii="Arial" w:hAnsi="Arial" w:cs="Arial"/>
                      <w:sz w:val="20"/>
                      <w:szCs w:val="20"/>
                    </w:rPr>
                  </w:pPr>
                  <w:r w:rsidRPr="00E51B78">
                    <w:rPr>
                      <w:rFonts w:ascii="Arial" w:hAnsi="Arial" w:cs="Arial"/>
                      <w:sz w:val="20"/>
                      <w:szCs w:val="20"/>
                    </w:rPr>
                    <w:t>Note: a</w:t>
                  </w:r>
                  <w:r w:rsidR="008B14B2" w:rsidRPr="00E51B78">
                    <w:rPr>
                      <w:rFonts w:ascii="Arial" w:hAnsi="Arial" w:cs="Arial"/>
                      <w:sz w:val="20"/>
                      <w:szCs w:val="20"/>
                    </w:rPr>
                    <w:t xml:space="preserve">n incorrect BUPP may cause increased </w:t>
                  </w:r>
                  <w:r w:rsidR="00732E0A" w:rsidRPr="00E51B78">
                    <w:rPr>
                      <w:rFonts w:ascii="Arial" w:hAnsi="Arial" w:cs="Arial"/>
                      <w:sz w:val="20"/>
                      <w:szCs w:val="20"/>
                    </w:rPr>
                    <w:t xml:space="preserve">WAC </w:t>
                  </w:r>
                  <w:proofErr w:type="gramStart"/>
                  <w:r w:rsidR="00732E0A" w:rsidRPr="00E51B78">
                    <w:rPr>
                      <w:rFonts w:ascii="Arial" w:hAnsi="Arial" w:cs="Arial"/>
                      <w:sz w:val="20"/>
                      <w:szCs w:val="20"/>
                    </w:rPr>
                    <w:t>spend</w:t>
                  </w:r>
                  <w:proofErr w:type="gramEnd"/>
                  <w:r w:rsidR="00732E0A" w:rsidRPr="00E51B78">
                    <w:rPr>
                      <w:rFonts w:ascii="Arial" w:hAnsi="Arial" w:cs="Arial"/>
                      <w:sz w:val="20"/>
                      <w:szCs w:val="20"/>
                    </w:rPr>
                    <w:t xml:space="preserve"> if it leads to under-accumulation </w:t>
                  </w:r>
                  <w:r w:rsidR="008B14B2" w:rsidRPr="00E51B78">
                    <w:rPr>
                      <w:rFonts w:ascii="Arial" w:hAnsi="Arial" w:cs="Arial"/>
                      <w:sz w:val="20"/>
                      <w:szCs w:val="20"/>
                    </w:rPr>
                    <w:t>or decreased WAC spend</w:t>
                  </w:r>
                  <w:r w:rsidR="00732E0A" w:rsidRPr="00E51B78">
                    <w:rPr>
                      <w:rFonts w:ascii="Arial" w:hAnsi="Arial" w:cs="Arial"/>
                      <w:sz w:val="20"/>
                      <w:szCs w:val="20"/>
                    </w:rPr>
                    <w:t xml:space="preserve"> if it leads to over-accumulation</w:t>
                  </w:r>
                  <w:r w:rsidR="00C4773B" w:rsidRPr="00E51B78">
                    <w:rPr>
                      <w:rFonts w:ascii="Arial" w:hAnsi="Arial" w:cs="Arial"/>
                      <w:sz w:val="20"/>
                      <w:szCs w:val="20"/>
                    </w:rPr>
                    <w:t>.</w:t>
                  </w:r>
                </w:p>
              </w:tc>
              <w:tc>
                <w:tcPr>
                  <w:tcW w:w="4522" w:type="dxa"/>
                  <w:tcBorders>
                    <w:top w:val="single" w:sz="4" w:space="0" w:color="auto"/>
                    <w:bottom w:val="single" w:sz="4" w:space="0" w:color="auto"/>
                  </w:tcBorders>
                </w:tcPr>
                <w:p w14:paraId="1567AFF8" w14:textId="477462D8" w:rsidR="00F24C87" w:rsidRPr="00E51B78" w:rsidRDefault="00732E0A" w:rsidP="00E51B78">
                  <w:pPr>
                    <w:pStyle w:val="ListParagraph"/>
                    <w:numPr>
                      <w:ilvl w:val="0"/>
                      <w:numId w:val="20"/>
                    </w:numPr>
                    <w:spacing w:before="120"/>
                    <w:ind w:left="346"/>
                    <w:rPr>
                      <w:rFonts w:ascii="Arial" w:hAnsi="Arial" w:cs="Arial"/>
                      <w:sz w:val="20"/>
                      <w:szCs w:val="20"/>
                    </w:rPr>
                  </w:pPr>
                  <w:r w:rsidRPr="00E51B78">
                    <w:rPr>
                      <w:rFonts w:ascii="Arial" w:hAnsi="Arial" w:cs="Arial"/>
                      <w:sz w:val="20"/>
                      <w:szCs w:val="20"/>
                    </w:rPr>
                    <w:t>Update the BUPP</w:t>
                  </w:r>
                  <w:r w:rsidR="00052886" w:rsidRPr="00E51B78">
                    <w:rPr>
                      <w:rFonts w:ascii="Arial" w:hAnsi="Arial" w:cs="Arial"/>
                      <w:sz w:val="20"/>
                      <w:szCs w:val="20"/>
                    </w:rPr>
                    <w:t>.</w:t>
                  </w:r>
                  <w:r w:rsidRPr="00E51B78">
                    <w:rPr>
                      <w:rFonts w:ascii="Arial" w:hAnsi="Arial" w:cs="Arial"/>
                      <w:sz w:val="20"/>
                      <w:szCs w:val="20"/>
                    </w:rPr>
                    <w:t xml:space="preserve"> </w:t>
                  </w:r>
                </w:p>
                <w:p w14:paraId="68DE0595" w14:textId="60AC126F" w:rsidR="00732E0A" w:rsidRPr="00E51B78" w:rsidRDefault="00732E0A" w:rsidP="00E51B78">
                  <w:pPr>
                    <w:pStyle w:val="ListParagraph"/>
                    <w:numPr>
                      <w:ilvl w:val="0"/>
                      <w:numId w:val="20"/>
                    </w:numPr>
                    <w:spacing w:before="120"/>
                    <w:ind w:left="346"/>
                    <w:rPr>
                      <w:rFonts w:ascii="Arial" w:hAnsi="Arial" w:cs="Arial"/>
                      <w:sz w:val="20"/>
                      <w:szCs w:val="20"/>
                    </w:rPr>
                  </w:pPr>
                  <w:r w:rsidRPr="00E51B78">
                    <w:rPr>
                      <w:rFonts w:ascii="Arial" w:hAnsi="Arial" w:cs="Arial"/>
                      <w:sz w:val="20"/>
                      <w:szCs w:val="20"/>
                    </w:rPr>
                    <w:t xml:space="preserve">Note: </w:t>
                  </w:r>
                  <w:r w:rsidR="00052886" w:rsidRPr="00E51B78">
                    <w:rPr>
                      <w:rFonts w:ascii="Arial" w:hAnsi="Arial" w:cs="Arial"/>
                      <w:sz w:val="20"/>
                      <w:szCs w:val="20"/>
                    </w:rPr>
                    <w:t>I</w:t>
                  </w:r>
                  <w:r w:rsidRPr="00E51B78">
                    <w:rPr>
                      <w:rFonts w:ascii="Arial" w:hAnsi="Arial" w:cs="Arial"/>
                      <w:sz w:val="20"/>
                      <w:szCs w:val="20"/>
                    </w:rPr>
                    <w:t xml:space="preserve">f the incorrect BUPP </w:t>
                  </w:r>
                  <w:r w:rsidR="00772C2A" w:rsidRPr="00E51B78">
                    <w:rPr>
                      <w:rFonts w:ascii="Arial" w:hAnsi="Arial" w:cs="Arial"/>
                      <w:sz w:val="20"/>
                      <w:szCs w:val="20"/>
                    </w:rPr>
                    <w:t>led to over-accumulation, then identify the scope of the problem</w:t>
                  </w:r>
                  <w:r w:rsidR="004232D8" w:rsidRPr="00E51B78">
                    <w:rPr>
                      <w:rFonts w:ascii="Arial" w:hAnsi="Arial" w:cs="Arial"/>
                      <w:sz w:val="20"/>
                      <w:szCs w:val="20"/>
                    </w:rPr>
                    <w:t>, evaluate for material breach</w:t>
                  </w:r>
                  <w:r w:rsidR="00C81CE2" w:rsidRPr="00E51B78">
                    <w:rPr>
                      <w:rFonts w:ascii="Arial" w:hAnsi="Arial" w:cs="Arial"/>
                      <w:sz w:val="20"/>
                      <w:szCs w:val="20"/>
                    </w:rPr>
                    <w:t xml:space="preserve"> per your entity’s policies and procedures</w:t>
                  </w:r>
                  <w:r w:rsidR="004232D8" w:rsidRPr="00E51B78">
                    <w:rPr>
                      <w:rFonts w:ascii="Arial" w:hAnsi="Arial" w:cs="Arial"/>
                      <w:sz w:val="20"/>
                      <w:szCs w:val="20"/>
                    </w:rPr>
                    <w:t>,</w:t>
                  </w:r>
                  <w:r w:rsidR="00772C2A" w:rsidRPr="00E51B78">
                    <w:rPr>
                      <w:rFonts w:ascii="Arial" w:hAnsi="Arial" w:cs="Arial"/>
                      <w:sz w:val="20"/>
                      <w:szCs w:val="20"/>
                    </w:rPr>
                    <w:t xml:space="preserve"> </w:t>
                  </w:r>
                  <w:r w:rsidR="00584043" w:rsidRPr="00E51B78">
                    <w:rPr>
                      <w:rFonts w:ascii="Arial" w:hAnsi="Arial" w:cs="Arial"/>
                      <w:sz w:val="20"/>
                      <w:szCs w:val="20"/>
                    </w:rPr>
                    <w:t>and work with the manufacturer on repayment</w:t>
                  </w:r>
                  <w:r w:rsidR="00505397" w:rsidRPr="00E51B78">
                    <w:rPr>
                      <w:rFonts w:ascii="Arial" w:hAnsi="Arial" w:cs="Arial"/>
                      <w:sz w:val="20"/>
                      <w:szCs w:val="20"/>
                    </w:rPr>
                    <w:t>.</w:t>
                  </w:r>
                  <w:r w:rsidR="00584043" w:rsidRPr="00E51B78">
                    <w:rPr>
                      <w:rFonts w:ascii="Arial" w:hAnsi="Arial" w:cs="Arial"/>
                      <w:sz w:val="20"/>
                      <w:szCs w:val="20"/>
                    </w:rPr>
                    <w:t xml:space="preserve"> </w:t>
                  </w:r>
                </w:p>
              </w:tc>
            </w:tr>
            <w:tr w:rsidR="00927923" w:rsidRPr="004A43B3" w14:paraId="51252597" w14:textId="77777777" w:rsidTr="00E51B78">
              <w:tc>
                <w:tcPr>
                  <w:tcW w:w="4522" w:type="dxa"/>
                  <w:tcBorders>
                    <w:top w:val="single" w:sz="4" w:space="0" w:color="auto"/>
                    <w:bottom w:val="single" w:sz="4" w:space="0" w:color="auto"/>
                  </w:tcBorders>
                </w:tcPr>
                <w:p w14:paraId="6FA159A9" w14:textId="16D512EA" w:rsidR="00927923" w:rsidRPr="00E51B78" w:rsidRDefault="00927923" w:rsidP="00E51B78">
                  <w:pPr>
                    <w:spacing w:before="120" w:after="120"/>
                    <w:rPr>
                      <w:rFonts w:ascii="Arial" w:hAnsi="Arial" w:cs="Arial"/>
                      <w:sz w:val="20"/>
                      <w:szCs w:val="20"/>
                    </w:rPr>
                  </w:pPr>
                  <w:r w:rsidRPr="00E51B78">
                    <w:rPr>
                      <w:rFonts w:ascii="Arial" w:hAnsi="Arial" w:cs="Arial"/>
                      <w:sz w:val="20"/>
                      <w:szCs w:val="20"/>
                    </w:rPr>
                    <w:t xml:space="preserve">Missing </w:t>
                  </w:r>
                  <w:r w:rsidR="00B861F4" w:rsidRPr="00E51B78">
                    <w:rPr>
                      <w:rFonts w:ascii="Arial" w:hAnsi="Arial" w:cs="Arial"/>
                      <w:sz w:val="20"/>
                      <w:szCs w:val="20"/>
                    </w:rPr>
                    <w:t xml:space="preserve">or corrupt </w:t>
                  </w:r>
                  <w:r w:rsidRPr="00E51B78">
                    <w:rPr>
                      <w:rFonts w:ascii="Arial" w:hAnsi="Arial" w:cs="Arial"/>
                      <w:sz w:val="20"/>
                      <w:szCs w:val="20"/>
                    </w:rPr>
                    <w:t>data files from the EMR or wholesaler</w:t>
                  </w:r>
                </w:p>
              </w:tc>
              <w:tc>
                <w:tcPr>
                  <w:tcW w:w="4522" w:type="dxa"/>
                  <w:tcBorders>
                    <w:top w:val="single" w:sz="4" w:space="0" w:color="auto"/>
                    <w:bottom w:val="single" w:sz="4" w:space="0" w:color="auto"/>
                  </w:tcBorders>
                </w:tcPr>
                <w:p w14:paraId="0DD18758" w14:textId="2C5A76B7" w:rsidR="00927923" w:rsidRPr="00E51B78" w:rsidRDefault="00000453" w:rsidP="00E51B78">
                  <w:pPr>
                    <w:pStyle w:val="ListParagraph"/>
                    <w:numPr>
                      <w:ilvl w:val="0"/>
                      <w:numId w:val="20"/>
                    </w:numPr>
                    <w:spacing w:before="120" w:after="120"/>
                    <w:ind w:left="346"/>
                    <w:rPr>
                      <w:rFonts w:ascii="Arial" w:hAnsi="Arial" w:cs="Arial"/>
                      <w:sz w:val="20"/>
                      <w:szCs w:val="20"/>
                    </w:rPr>
                  </w:pPr>
                  <w:r w:rsidRPr="00E51B78">
                    <w:rPr>
                      <w:rFonts w:ascii="Arial" w:hAnsi="Arial" w:cs="Arial"/>
                      <w:sz w:val="20"/>
                      <w:szCs w:val="20"/>
                    </w:rPr>
                    <w:t>Work with your pharmacy informatics or data warehouse teams to identify and address the root cause for the missing or corrupt data files</w:t>
                  </w:r>
                  <w:r w:rsidR="00505397" w:rsidRPr="00E51B78">
                    <w:rPr>
                      <w:rFonts w:ascii="Arial" w:hAnsi="Arial" w:cs="Arial"/>
                      <w:sz w:val="20"/>
                      <w:szCs w:val="20"/>
                    </w:rPr>
                    <w:t>.</w:t>
                  </w:r>
                  <w:r w:rsidRPr="00E51B78">
                    <w:rPr>
                      <w:rFonts w:ascii="Arial" w:hAnsi="Arial" w:cs="Arial"/>
                      <w:sz w:val="20"/>
                      <w:szCs w:val="20"/>
                    </w:rPr>
                    <w:t xml:space="preserve"> </w:t>
                  </w:r>
                </w:p>
                <w:p w14:paraId="1BF99711" w14:textId="60FE5E61" w:rsidR="00000453" w:rsidRPr="00E51B78" w:rsidRDefault="00000453" w:rsidP="00E51B78">
                  <w:pPr>
                    <w:pStyle w:val="ListParagraph"/>
                    <w:numPr>
                      <w:ilvl w:val="0"/>
                      <w:numId w:val="20"/>
                    </w:numPr>
                    <w:spacing w:before="120" w:after="120"/>
                    <w:ind w:left="346"/>
                    <w:rPr>
                      <w:rFonts w:ascii="Arial" w:hAnsi="Arial" w:cs="Arial"/>
                      <w:sz w:val="20"/>
                      <w:szCs w:val="20"/>
                    </w:rPr>
                  </w:pPr>
                  <w:r w:rsidRPr="00E51B78">
                    <w:rPr>
                      <w:rFonts w:ascii="Arial" w:hAnsi="Arial" w:cs="Arial"/>
                      <w:sz w:val="20"/>
                      <w:szCs w:val="20"/>
                    </w:rPr>
                    <w:t>Resubmit missing data files to the split</w:t>
                  </w:r>
                  <w:r w:rsidR="00505397" w:rsidRPr="00E51B78">
                    <w:rPr>
                      <w:rFonts w:ascii="Arial" w:hAnsi="Arial" w:cs="Arial"/>
                      <w:sz w:val="20"/>
                      <w:szCs w:val="20"/>
                    </w:rPr>
                    <w:t>-</w:t>
                  </w:r>
                  <w:r w:rsidRPr="00E51B78">
                    <w:rPr>
                      <w:rFonts w:ascii="Arial" w:hAnsi="Arial" w:cs="Arial"/>
                      <w:sz w:val="20"/>
                      <w:szCs w:val="20"/>
                    </w:rPr>
                    <w:t>billing software</w:t>
                  </w:r>
                  <w:r w:rsidR="00505397" w:rsidRPr="00E51B78">
                    <w:rPr>
                      <w:rFonts w:ascii="Arial" w:hAnsi="Arial" w:cs="Arial"/>
                      <w:sz w:val="20"/>
                      <w:szCs w:val="20"/>
                    </w:rPr>
                    <w:t>.</w:t>
                  </w:r>
                </w:p>
              </w:tc>
            </w:tr>
          </w:tbl>
          <w:p w14:paraId="185FDCEE" w14:textId="77777777" w:rsidR="00F24C87" w:rsidRPr="00E51B78" w:rsidRDefault="00F24C87" w:rsidP="002B3A5C">
            <w:pPr>
              <w:tabs>
                <w:tab w:val="left" w:pos="2385"/>
              </w:tabs>
              <w:rPr>
                <w:rFonts w:ascii="Arial" w:hAnsi="Arial" w:cs="Arial"/>
                <w:sz w:val="20"/>
                <w:szCs w:val="20"/>
              </w:rPr>
            </w:pPr>
          </w:p>
          <w:p w14:paraId="045188C2" w14:textId="77E615E6" w:rsidR="00CD315E" w:rsidRPr="00E51B78" w:rsidRDefault="00505397" w:rsidP="00CD315E">
            <w:pPr>
              <w:tabs>
                <w:tab w:val="left" w:pos="2385"/>
              </w:tabs>
              <w:rPr>
                <w:rFonts w:ascii="Arial" w:hAnsi="Arial" w:cs="Arial"/>
                <w:sz w:val="20"/>
                <w:szCs w:val="20"/>
              </w:rPr>
            </w:pPr>
            <w:r w:rsidRPr="00E51B78">
              <w:rPr>
                <w:rFonts w:ascii="Arial" w:hAnsi="Arial" w:cs="Arial"/>
                <w:sz w:val="20"/>
                <w:szCs w:val="20"/>
              </w:rPr>
              <w:t>To</w:t>
            </w:r>
            <w:r w:rsidR="008839C6" w:rsidRPr="00E51B78">
              <w:rPr>
                <w:rFonts w:ascii="Arial" w:hAnsi="Arial" w:cs="Arial"/>
                <w:sz w:val="20"/>
                <w:szCs w:val="20"/>
              </w:rPr>
              <w:t xml:space="preserve"> prevent the</w:t>
            </w:r>
            <w:r w:rsidRPr="00E51B78">
              <w:rPr>
                <w:rFonts w:ascii="Arial" w:hAnsi="Arial" w:cs="Arial"/>
                <w:sz w:val="20"/>
                <w:szCs w:val="20"/>
              </w:rPr>
              <w:t>se</w:t>
            </w:r>
            <w:r w:rsidR="008839C6" w:rsidRPr="00E51B78">
              <w:rPr>
                <w:rFonts w:ascii="Arial" w:hAnsi="Arial" w:cs="Arial"/>
                <w:sz w:val="20"/>
                <w:szCs w:val="20"/>
              </w:rPr>
              <w:t xml:space="preserve"> root causes, dedicate appropriate resources for split billing software </w:t>
            </w:r>
            <w:r w:rsidR="002F0E66" w:rsidRPr="00E51B78">
              <w:rPr>
                <w:rFonts w:ascii="Arial" w:hAnsi="Arial" w:cs="Arial"/>
                <w:sz w:val="20"/>
                <w:szCs w:val="20"/>
              </w:rPr>
              <w:t xml:space="preserve">maintenance. Ensure </w:t>
            </w:r>
            <w:r w:rsidR="00052886" w:rsidRPr="00E51B78">
              <w:rPr>
                <w:rFonts w:ascii="Arial" w:hAnsi="Arial" w:cs="Arial"/>
                <w:sz w:val="20"/>
                <w:szCs w:val="20"/>
              </w:rPr>
              <w:t xml:space="preserve">that </w:t>
            </w:r>
            <w:r w:rsidR="002F0E66" w:rsidRPr="00E51B78">
              <w:rPr>
                <w:rFonts w:ascii="Arial" w:hAnsi="Arial" w:cs="Arial"/>
                <w:sz w:val="20"/>
                <w:szCs w:val="20"/>
              </w:rPr>
              <w:t xml:space="preserve">the following are </w:t>
            </w:r>
            <w:r w:rsidR="00052886" w:rsidRPr="00E51B78">
              <w:rPr>
                <w:rFonts w:ascii="Arial" w:hAnsi="Arial" w:cs="Arial"/>
                <w:sz w:val="20"/>
                <w:szCs w:val="20"/>
              </w:rPr>
              <w:t>perform</w:t>
            </w:r>
            <w:r w:rsidR="002F0E66" w:rsidRPr="00E51B78">
              <w:rPr>
                <w:rFonts w:ascii="Arial" w:hAnsi="Arial" w:cs="Arial"/>
                <w:sz w:val="20"/>
                <w:szCs w:val="20"/>
              </w:rPr>
              <w:t xml:space="preserve">ed regularly: </w:t>
            </w:r>
          </w:p>
          <w:p w14:paraId="73DCF905" w14:textId="21FC0403" w:rsidR="00D73435" w:rsidRPr="00E51B78" w:rsidRDefault="00D73435" w:rsidP="002F0E66">
            <w:pPr>
              <w:pStyle w:val="ListParagraph"/>
              <w:numPr>
                <w:ilvl w:val="0"/>
                <w:numId w:val="23"/>
              </w:numPr>
              <w:tabs>
                <w:tab w:val="left" w:pos="2385"/>
              </w:tabs>
              <w:rPr>
                <w:rFonts w:ascii="Arial" w:hAnsi="Arial" w:cs="Arial"/>
                <w:sz w:val="20"/>
                <w:szCs w:val="20"/>
              </w:rPr>
            </w:pPr>
            <w:r w:rsidRPr="00E51B78">
              <w:rPr>
                <w:rFonts w:ascii="Arial" w:hAnsi="Arial" w:cs="Arial"/>
                <w:sz w:val="20"/>
                <w:szCs w:val="20"/>
              </w:rPr>
              <w:t xml:space="preserve">Review unmatched CDMs and NDCs and appropriately match them </w:t>
            </w:r>
            <w:r w:rsidR="00D22665" w:rsidRPr="00E51B78">
              <w:rPr>
                <w:rFonts w:ascii="Arial" w:hAnsi="Arial" w:cs="Arial"/>
                <w:sz w:val="20"/>
                <w:szCs w:val="20"/>
              </w:rPr>
              <w:t>as soon as possible</w:t>
            </w:r>
            <w:r w:rsidR="006A1632" w:rsidRPr="00E51B78">
              <w:rPr>
                <w:rFonts w:ascii="Arial" w:hAnsi="Arial" w:cs="Arial"/>
                <w:sz w:val="20"/>
                <w:szCs w:val="20"/>
              </w:rPr>
              <w:t>.</w:t>
            </w:r>
          </w:p>
          <w:p w14:paraId="46F82170" w14:textId="201709D5" w:rsidR="00CD315E" w:rsidRPr="00E51B78" w:rsidRDefault="00BA73FA" w:rsidP="002F0E66">
            <w:pPr>
              <w:pStyle w:val="ListParagraph"/>
              <w:numPr>
                <w:ilvl w:val="0"/>
                <w:numId w:val="23"/>
              </w:numPr>
              <w:tabs>
                <w:tab w:val="left" w:pos="2385"/>
              </w:tabs>
              <w:rPr>
                <w:rFonts w:ascii="Arial" w:hAnsi="Arial" w:cs="Arial"/>
                <w:sz w:val="20"/>
                <w:szCs w:val="20"/>
              </w:rPr>
            </w:pPr>
            <w:r w:rsidRPr="00E51B78">
              <w:rPr>
                <w:rFonts w:ascii="Arial" w:hAnsi="Arial" w:cs="Arial"/>
                <w:sz w:val="20"/>
                <w:szCs w:val="20"/>
              </w:rPr>
              <w:t>Review the CDM</w:t>
            </w:r>
            <w:r w:rsidR="00052886" w:rsidRPr="00E51B78">
              <w:rPr>
                <w:rFonts w:ascii="Arial" w:hAnsi="Arial" w:cs="Arial"/>
                <w:sz w:val="20"/>
                <w:szCs w:val="20"/>
              </w:rPr>
              <w:t>-</w:t>
            </w:r>
            <w:r w:rsidRPr="00E51B78">
              <w:rPr>
                <w:rFonts w:ascii="Arial" w:hAnsi="Arial" w:cs="Arial"/>
                <w:sz w:val="20"/>
                <w:szCs w:val="20"/>
              </w:rPr>
              <w:t>to</w:t>
            </w:r>
            <w:r w:rsidR="00052886" w:rsidRPr="00E51B78">
              <w:rPr>
                <w:rFonts w:ascii="Arial" w:hAnsi="Arial" w:cs="Arial"/>
                <w:sz w:val="20"/>
                <w:szCs w:val="20"/>
              </w:rPr>
              <w:t>-</w:t>
            </w:r>
            <w:r w:rsidRPr="00E51B78">
              <w:rPr>
                <w:rFonts w:ascii="Arial" w:hAnsi="Arial" w:cs="Arial"/>
                <w:sz w:val="20"/>
                <w:szCs w:val="20"/>
              </w:rPr>
              <w:t>NDC crosswalk to ensure that the appropriate NDC is mapped to each CDM</w:t>
            </w:r>
            <w:r w:rsidR="006A1632" w:rsidRPr="00E51B78">
              <w:rPr>
                <w:rFonts w:ascii="Arial" w:hAnsi="Arial" w:cs="Arial"/>
                <w:sz w:val="20"/>
                <w:szCs w:val="20"/>
              </w:rPr>
              <w:t>.</w:t>
            </w:r>
          </w:p>
          <w:p w14:paraId="6198894E" w14:textId="30A0D117" w:rsidR="00F24028" w:rsidRPr="00E51B78" w:rsidRDefault="00F24028" w:rsidP="002B3A5C">
            <w:pPr>
              <w:pStyle w:val="ListParagraph"/>
              <w:numPr>
                <w:ilvl w:val="1"/>
                <w:numId w:val="23"/>
              </w:numPr>
              <w:tabs>
                <w:tab w:val="left" w:pos="2385"/>
              </w:tabs>
              <w:rPr>
                <w:rFonts w:ascii="Arial" w:hAnsi="Arial" w:cs="Arial"/>
                <w:sz w:val="20"/>
                <w:szCs w:val="20"/>
              </w:rPr>
            </w:pPr>
            <w:r w:rsidRPr="00E51B78">
              <w:rPr>
                <w:rFonts w:ascii="Arial" w:hAnsi="Arial" w:cs="Arial"/>
                <w:sz w:val="20"/>
                <w:szCs w:val="20"/>
              </w:rPr>
              <w:lastRenderedPageBreak/>
              <w:t xml:space="preserve">In cases </w:t>
            </w:r>
            <w:r w:rsidR="00052886" w:rsidRPr="00E51B78">
              <w:rPr>
                <w:rFonts w:ascii="Arial" w:hAnsi="Arial" w:cs="Arial"/>
                <w:sz w:val="20"/>
                <w:szCs w:val="20"/>
              </w:rPr>
              <w:t>in which</w:t>
            </w:r>
            <w:r w:rsidRPr="00E51B78">
              <w:rPr>
                <w:rFonts w:ascii="Arial" w:hAnsi="Arial" w:cs="Arial"/>
                <w:sz w:val="20"/>
                <w:szCs w:val="20"/>
              </w:rPr>
              <w:t xml:space="preserve"> multiple NDCs are assigned to the same CDM</w:t>
            </w:r>
            <w:r w:rsidR="002D0819" w:rsidRPr="00E51B78">
              <w:rPr>
                <w:rFonts w:ascii="Arial" w:hAnsi="Arial" w:cs="Arial"/>
                <w:sz w:val="20"/>
                <w:szCs w:val="20"/>
              </w:rPr>
              <w:t>, you may need to manually update the NDC mapped to the CDM</w:t>
            </w:r>
            <w:r w:rsidR="006A1632" w:rsidRPr="00E51B78">
              <w:rPr>
                <w:rFonts w:ascii="Arial" w:hAnsi="Arial" w:cs="Arial"/>
                <w:sz w:val="20"/>
                <w:szCs w:val="20"/>
              </w:rPr>
              <w:t>.</w:t>
            </w:r>
            <w:r w:rsidR="002D0819" w:rsidRPr="00E51B78">
              <w:rPr>
                <w:rFonts w:ascii="Arial" w:hAnsi="Arial" w:cs="Arial"/>
                <w:sz w:val="20"/>
                <w:szCs w:val="20"/>
              </w:rPr>
              <w:t xml:space="preserve"> </w:t>
            </w:r>
          </w:p>
          <w:p w14:paraId="351D669F" w14:textId="2A2455A0" w:rsidR="00197CD7" w:rsidRPr="00E51B78" w:rsidRDefault="00197CD7" w:rsidP="00E51B78">
            <w:pPr>
              <w:pStyle w:val="ListParagraph"/>
              <w:numPr>
                <w:ilvl w:val="0"/>
                <w:numId w:val="23"/>
              </w:numPr>
              <w:tabs>
                <w:tab w:val="left" w:pos="2385"/>
              </w:tabs>
              <w:spacing w:after="120"/>
              <w:contextualSpacing w:val="0"/>
              <w:rPr>
                <w:rFonts w:ascii="Arial" w:hAnsi="Arial" w:cs="Arial"/>
                <w:sz w:val="20"/>
                <w:szCs w:val="20"/>
              </w:rPr>
            </w:pPr>
            <w:r w:rsidRPr="00E51B78">
              <w:rPr>
                <w:rFonts w:ascii="Arial" w:hAnsi="Arial" w:cs="Arial"/>
                <w:sz w:val="20"/>
                <w:szCs w:val="20"/>
              </w:rPr>
              <w:t>Review the BUPPs for each CDM</w:t>
            </w:r>
            <w:r w:rsidR="00052886" w:rsidRPr="00E51B78">
              <w:rPr>
                <w:rFonts w:ascii="Arial" w:hAnsi="Arial" w:cs="Arial"/>
                <w:sz w:val="20"/>
                <w:szCs w:val="20"/>
              </w:rPr>
              <w:t>-</w:t>
            </w:r>
            <w:r w:rsidRPr="00E51B78">
              <w:rPr>
                <w:rFonts w:ascii="Arial" w:hAnsi="Arial" w:cs="Arial"/>
                <w:sz w:val="20"/>
                <w:szCs w:val="20"/>
              </w:rPr>
              <w:t>to</w:t>
            </w:r>
            <w:r w:rsidR="00052886" w:rsidRPr="00E51B78">
              <w:rPr>
                <w:rFonts w:ascii="Arial" w:hAnsi="Arial" w:cs="Arial"/>
                <w:sz w:val="20"/>
                <w:szCs w:val="20"/>
              </w:rPr>
              <w:t>-</w:t>
            </w:r>
            <w:r w:rsidRPr="00E51B78">
              <w:rPr>
                <w:rFonts w:ascii="Arial" w:hAnsi="Arial" w:cs="Arial"/>
                <w:sz w:val="20"/>
                <w:szCs w:val="20"/>
              </w:rPr>
              <w:t xml:space="preserve">NDC match to ensure that </w:t>
            </w:r>
            <w:r w:rsidR="00A310FA" w:rsidRPr="00E51B78">
              <w:rPr>
                <w:rFonts w:ascii="Arial" w:hAnsi="Arial" w:cs="Arial"/>
                <w:sz w:val="20"/>
                <w:szCs w:val="20"/>
              </w:rPr>
              <w:t>the BUPP matches how the CDM is billed for within the EMR and hospital billing system</w:t>
            </w:r>
            <w:r w:rsidR="006A1632" w:rsidRPr="00E51B78">
              <w:rPr>
                <w:rFonts w:ascii="Arial" w:hAnsi="Arial" w:cs="Arial"/>
                <w:sz w:val="20"/>
                <w:szCs w:val="20"/>
              </w:rPr>
              <w:t>.</w:t>
            </w:r>
            <w:r w:rsidR="00A310FA" w:rsidRPr="00E51B78">
              <w:rPr>
                <w:rFonts w:ascii="Arial" w:hAnsi="Arial" w:cs="Arial"/>
                <w:sz w:val="20"/>
                <w:szCs w:val="20"/>
              </w:rPr>
              <w:t xml:space="preserve"> </w:t>
            </w:r>
          </w:p>
          <w:p w14:paraId="1AE85E83" w14:textId="12D130B0" w:rsidR="00A310FA" w:rsidRPr="00E51B78" w:rsidRDefault="00A310FA" w:rsidP="00E51B78">
            <w:pPr>
              <w:pStyle w:val="ListParagraph"/>
              <w:numPr>
                <w:ilvl w:val="0"/>
                <w:numId w:val="23"/>
              </w:numPr>
              <w:tabs>
                <w:tab w:val="left" w:pos="2385"/>
              </w:tabs>
              <w:spacing w:before="120"/>
              <w:contextualSpacing w:val="0"/>
              <w:rPr>
                <w:rFonts w:ascii="Arial" w:hAnsi="Arial" w:cs="Arial"/>
                <w:sz w:val="20"/>
                <w:szCs w:val="20"/>
              </w:rPr>
            </w:pPr>
            <w:r w:rsidRPr="00E51B78">
              <w:rPr>
                <w:rFonts w:ascii="Arial" w:hAnsi="Arial" w:cs="Arial"/>
                <w:sz w:val="20"/>
                <w:szCs w:val="20"/>
              </w:rPr>
              <w:t>Develop a checks</w:t>
            </w:r>
            <w:r w:rsidR="00052886" w:rsidRPr="00E51B78">
              <w:rPr>
                <w:rFonts w:ascii="Arial" w:hAnsi="Arial" w:cs="Arial"/>
                <w:sz w:val="20"/>
                <w:szCs w:val="20"/>
              </w:rPr>
              <w:t>-</w:t>
            </w:r>
            <w:r w:rsidRPr="00E51B78">
              <w:rPr>
                <w:rFonts w:ascii="Arial" w:hAnsi="Arial" w:cs="Arial"/>
                <w:sz w:val="20"/>
                <w:szCs w:val="20"/>
              </w:rPr>
              <w:t>and</w:t>
            </w:r>
            <w:r w:rsidR="00052886" w:rsidRPr="00E51B78">
              <w:rPr>
                <w:rFonts w:ascii="Arial" w:hAnsi="Arial" w:cs="Arial"/>
                <w:sz w:val="20"/>
                <w:szCs w:val="20"/>
              </w:rPr>
              <w:t>-</w:t>
            </w:r>
            <w:r w:rsidRPr="00E51B78">
              <w:rPr>
                <w:rFonts w:ascii="Arial" w:hAnsi="Arial" w:cs="Arial"/>
                <w:sz w:val="20"/>
                <w:szCs w:val="20"/>
              </w:rPr>
              <w:t xml:space="preserve">balances system to ensure </w:t>
            </w:r>
            <w:r w:rsidR="00052886" w:rsidRPr="00E51B78">
              <w:rPr>
                <w:rFonts w:ascii="Arial" w:hAnsi="Arial" w:cs="Arial"/>
                <w:sz w:val="20"/>
                <w:szCs w:val="20"/>
              </w:rPr>
              <w:t xml:space="preserve">that </w:t>
            </w:r>
            <w:r w:rsidRPr="00E51B78">
              <w:rPr>
                <w:rFonts w:ascii="Arial" w:hAnsi="Arial" w:cs="Arial"/>
                <w:sz w:val="20"/>
                <w:szCs w:val="20"/>
              </w:rPr>
              <w:t xml:space="preserve">data files are loaded correctly </w:t>
            </w:r>
            <w:r w:rsidR="00927923" w:rsidRPr="00E51B78">
              <w:rPr>
                <w:rFonts w:ascii="Arial" w:hAnsi="Arial" w:cs="Arial"/>
                <w:sz w:val="20"/>
                <w:szCs w:val="20"/>
              </w:rPr>
              <w:t>to the split</w:t>
            </w:r>
            <w:r w:rsidR="00052886" w:rsidRPr="00E51B78">
              <w:rPr>
                <w:rFonts w:ascii="Arial" w:hAnsi="Arial" w:cs="Arial"/>
                <w:sz w:val="20"/>
                <w:szCs w:val="20"/>
              </w:rPr>
              <w:t>-</w:t>
            </w:r>
            <w:r w:rsidR="00927923" w:rsidRPr="00E51B78">
              <w:rPr>
                <w:rFonts w:ascii="Arial" w:hAnsi="Arial" w:cs="Arial"/>
                <w:sz w:val="20"/>
                <w:szCs w:val="20"/>
              </w:rPr>
              <w:t xml:space="preserve">billing software </w:t>
            </w:r>
            <w:r w:rsidRPr="00E51B78">
              <w:rPr>
                <w:rFonts w:ascii="Arial" w:hAnsi="Arial" w:cs="Arial"/>
                <w:sz w:val="20"/>
                <w:szCs w:val="20"/>
              </w:rPr>
              <w:t xml:space="preserve">and the 340B team is notified ahead of changes that could </w:t>
            </w:r>
            <w:r w:rsidR="00052886" w:rsidRPr="00E51B78">
              <w:rPr>
                <w:rFonts w:ascii="Arial" w:hAnsi="Arial" w:cs="Arial"/>
                <w:sz w:val="20"/>
                <w:szCs w:val="20"/>
              </w:rPr>
              <w:t>affe</w:t>
            </w:r>
            <w:r w:rsidRPr="00E51B78">
              <w:rPr>
                <w:rFonts w:ascii="Arial" w:hAnsi="Arial" w:cs="Arial"/>
                <w:sz w:val="20"/>
                <w:szCs w:val="20"/>
              </w:rPr>
              <w:t>ct the files</w:t>
            </w:r>
            <w:r w:rsidR="006A1632" w:rsidRPr="00E51B78">
              <w:rPr>
                <w:rFonts w:ascii="Arial" w:hAnsi="Arial" w:cs="Arial"/>
                <w:sz w:val="20"/>
                <w:szCs w:val="20"/>
              </w:rPr>
              <w:t>.</w:t>
            </w:r>
            <w:r w:rsidRPr="00E51B78">
              <w:rPr>
                <w:rFonts w:ascii="Arial" w:hAnsi="Arial" w:cs="Arial"/>
                <w:sz w:val="20"/>
                <w:szCs w:val="20"/>
              </w:rPr>
              <w:t xml:space="preserve"> </w:t>
            </w:r>
          </w:p>
          <w:p w14:paraId="0050C4A4" w14:textId="77777777" w:rsidR="00E12D64" w:rsidRPr="00E51B78" w:rsidRDefault="00E12D64" w:rsidP="00E12D64">
            <w:pPr>
              <w:tabs>
                <w:tab w:val="left" w:pos="2385"/>
              </w:tabs>
              <w:rPr>
                <w:rFonts w:ascii="Arial" w:hAnsi="Arial" w:cs="Arial"/>
                <w:sz w:val="20"/>
                <w:szCs w:val="20"/>
              </w:rPr>
            </w:pPr>
          </w:p>
        </w:tc>
      </w:tr>
      <w:tr w:rsidR="009754C1" w14:paraId="60EC4D83" w14:textId="77777777" w:rsidTr="00E51B78">
        <w:tc>
          <w:tcPr>
            <w:tcW w:w="168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23A1905" w14:textId="77777777" w:rsidR="00AE10F9" w:rsidRPr="004A43B3" w:rsidRDefault="00AE10F9" w:rsidP="00B928BE">
            <w:pPr>
              <w:rPr>
                <w:rFonts w:ascii="Arial" w:hAnsi="Arial" w:cs="Arial"/>
                <w:sz w:val="20"/>
                <w:szCs w:val="20"/>
              </w:rPr>
            </w:pPr>
          </w:p>
          <w:p w14:paraId="427E62BD" w14:textId="673BF530" w:rsidR="00F72C2E" w:rsidRPr="00E51B78" w:rsidRDefault="00505397" w:rsidP="00B928BE">
            <w:pPr>
              <w:rPr>
                <w:rFonts w:ascii="Arial" w:hAnsi="Arial" w:cs="Arial"/>
                <w:sz w:val="20"/>
                <w:szCs w:val="20"/>
              </w:rPr>
            </w:pPr>
            <w:r w:rsidRPr="00E51B78">
              <w:rPr>
                <w:rFonts w:ascii="Arial" w:hAnsi="Arial" w:cs="Arial"/>
                <w:sz w:val="20"/>
                <w:szCs w:val="20"/>
              </w:rPr>
              <w:t>3d</w:t>
            </w:r>
            <w:r w:rsidR="008C66F9" w:rsidRPr="00E51B78">
              <w:rPr>
                <w:rFonts w:ascii="Arial" w:hAnsi="Arial" w:cs="Arial"/>
                <w:sz w:val="20"/>
                <w:szCs w:val="20"/>
              </w:rPr>
              <w:t xml:space="preserve">: Review </w:t>
            </w:r>
            <w:r w:rsidR="00C236A0" w:rsidRPr="00E51B78">
              <w:rPr>
                <w:rFonts w:ascii="Arial" w:hAnsi="Arial" w:cs="Arial"/>
                <w:sz w:val="20"/>
                <w:szCs w:val="20"/>
              </w:rPr>
              <w:t xml:space="preserve">replenishment process with pharmacy supply chain </w:t>
            </w:r>
            <w:r w:rsidR="00934F7F" w:rsidRPr="00E51B78">
              <w:rPr>
                <w:rFonts w:ascii="Arial" w:hAnsi="Arial" w:cs="Arial"/>
                <w:sz w:val="20"/>
                <w:szCs w:val="20"/>
              </w:rPr>
              <w:t xml:space="preserve">team </w:t>
            </w:r>
            <w:r w:rsidR="00C236A0" w:rsidRPr="00E51B78">
              <w:rPr>
                <w:rFonts w:ascii="Arial" w:hAnsi="Arial" w:cs="Arial"/>
                <w:sz w:val="20"/>
                <w:szCs w:val="20"/>
              </w:rPr>
              <w:t xml:space="preserve">and wholesaler </w:t>
            </w:r>
          </w:p>
          <w:p w14:paraId="4FC00D29" w14:textId="514AED4C" w:rsidR="00F72C2E" w:rsidRPr="00E51B78" w:rsidRDefault="00F72C2E" w:rsidP="00B928BE">
            <w:pPr>
              <w:rPr>
                <w:rFonts w:ascii="Arial" w:hAnsi="Arial" w:cs="Arial"/>
                <w:sz w:val="20"/>
                <w:szCs w:val="20"/>
              </w:rPr>
            </w:pPr>
          </w:p>
        </w:tc>
        <w:tc>
          <w:tcPr>
            <w:tcW w:w="8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82F83F8" w14:textId="77777777" w:rsidR="00C236A0" w:rsidRPr="00E51B78" w:rsidRDefault="00C236A0" w:rsidP="00C236A0">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374"/>
            </w:tblGrid>
            <w:tr w:rsidR="00C236A0" w:rsidRPr="004A43B3" w14:paraId="54B69DA2" w14:textId="77777777" w:rsidTr="00E51B78">
              <w:tc>
                <w:tcPr>
                  <w:tcW w:w="4522" w:type="dxa"/>
                </w:tcPr>
                <w:p w14:paraId="727373E2" w14:textId="77777777" w:rsidR="00C236A0" w:rsidRPr="00E51B78" w:rsidRDefault="00C236A0" w:rsidP="00C236A0">
                  <w:pPr>
                    <w:rPr>
                      <w:rFonts w:ascii="Arial" w:hAnsi="Arial" w:cs="Arial"/>
                      <w:b/>
                      <w:bCs/>
                      <w:color w:val="5B9BD5" w:themeColor="accent1"/>
                      <w:sz w:val="20"/>
                      <w:szCs w:val="20"/>
                    </w:rPr>
                  </w:pPr>
                  <w:r w:rsidRPr="00E51B78">
                    <w:rPr>
                      <w:rFonts w:ascii="Arial" w:hAnsi="Arial" w:cs="Arial"/>
                      <w:b/>
                      <w:bCs/>
                      <w:color w:val="5B9BD5" w:themeColor="accent1"/>
                      <w:sz w:val="20"/>
                      <w:szCs w:val="20"/>
                    </w:rPr>
                    <w:t>Root Cause</w:t>
                  </w:r>
                </w:p>
              </w:tc>
              <w:tc>
                <w:tcPr>
                  <w:tcW w:w="4522" w:type="dxa"/>
                </w:tcPr>
                <w:p w14:paraId="52319F3C" w14:textId="77777777" w:rsidR="00C236A0" w:rsidRPr="00E51B78" w:rsidRDefault="00C236A0" w:rsidP="00C236A0">
                  <w:pPr>
                    <w:rPr>
                      <w:rFonts w:ascii="Arial" w:hAnsi="Arial" w:cs="Arial"/>
                      <w:b/>
                      <w:bCs/>
                      <w:color w:val="5B9BD5" w:themeColor="accent1"/>
                      <w:sz w:val="20"/>
                      <w:szCs w:val="20"/>
                    </w:rPr>
                  </w:pPr>
                  <w:r w:rsidRPr="00E51B78">
                    <w:rPr>
                      <w:rFonts w:ascii="Arial" w:hAnsi="Arial" w:cs="Arial"/>
                      <w:b/>
                      <w:bCs/>
                      <w:color w:val="5B9BD5" w:themeColor="accent1"/>
                      <w:sz w:val="20"/>
                      <w:szCs w:val="20"/>
                    </w:rPr>
                    <w:t>Best Practice(s)</w:t>
                  </w:r>
                </w:p>
              </w:tc>
            </w:tr>
            <w:tr w:rsidR="00C236A0" w:rsidRPr="004A43B3" w14:paraId="42D320F8" w14:textId="77777777" w:rsidTr="00E51B78">
              <w:tc>
                <w:tcPr>
                  <w:tcW w:w="4522" w:type="dxa"/>
                </w:tcPr>
                <w:p w14:paraId="7CCA2BB6" w14:textId="39EBC434" w:rsidR="00C236A0" w:rsidRPr="00E51B78" w:rsidRDefault="00C236A0" w:rsidP="00C236A0">
                  <w:pPr>
                    <w:rPr>
                      <w:rFonts w:ascii="Arial" w:hAnsi="Arial" w:cs="Arial"/>
                      <w:sz w:val="20"/>
                      <w:szCs w:val="20"/>
                    </w:rPr>
                  </w:pPr>
                  <w:r w:rsidRPr="00E51B78">
                    <w:rPr>
                      <w:rFonts w:ascii="Arial" w:hAnsi="Arial" w:cs="Arial"/>
                      <w:sz w:val="20"/>
                      <w:szCs w:val="20"/>
                    </w:rPr>
                    <w:t xml:space="preserve">Product replenishment </w:t>
                  </w:r>
                  <w:r w:rsidR="003D4252" w:rsidRPr="00E51B78">
                    <w:rPr>
                      <w:rFonts w:ascii="Arial" w:hAnsi="Arial" w:cs="Arial"/>
                      <w:sz w:val="20"/>
                      <w:szCs w:val="20"/>
                    </w:rPr>
                    <w:t>occurs</w:t>
                  </w:r>
                  <w:r w:rsidR="001B0644" w:rsidRPr="00E51B78">
                    <w:rPr>
                      <w:rFonts w:ascii="Arial" w:hAnsi="Arial" w:cs="Arial"/>
                      <w:sz w:val="20"/>
                      <w:szCs w:val="20"/>
                    </w:rPr>
                    <w:t xml:space="preserve"> before accumulations are received in the split</w:t>
                  </w:r>
                  <w:r w:rsidR="00505397" w:rsidRPr="00E51B78">
                    <w:rPr>
                      <w:rFonts w:ascii="Arial" w:hAnsi="Arial" w:cs="Arial"/>
                      <w:sz w:val="20"/>
                      <w:szCs w:val="20"/>
                    </w:rPr>
                    <w:t>-</w:t>
                  </w:r>
                  <w:r w:rsidR="001B0644" w:rsidRPr="00E51B78">
                    <w:rPr>
                      <w:rFonts w:ascii="Arial" w:hAnsi="Arial" w:cs="Arial"/>
                      <w:sz w:val="20"/>
                      <w:szCs w:val="20"/>
                    </w:rPr>
                    <w:t>billing software, causing the purchases to default to the WAC account</w:t>
                  </w:r>
                  <w:r w:rsidR="00505397" w:rsidRPr="00E51B78">
                    <w:rPr>
                      <w:rFonts w:ascii="Arial" w:hAnsi="Arial" w:cs="Arial"/>
                      <w:sz w:val="20"/>
                      <w:szCs w:val="20"/>
                    </w:rPr>
                    <w:t>.</w:t>
                  </w:r>
                </w:p>
              </w:tc>
              <w:tc>
                <w:tcPr>
                  <w:tcW w:w="4522" w:type="dxa"/>
                </w:tcPr>
                <w:p w14:paraId="55A29612" w14:textId="5B1FE434" w:rsidR="00C236A0" w:rsidRPr="00E51B78" w:rsidRDefault="001B0644" w:rsidP="00C236A0">
                  <w:pPr>
                    <w:pStyle w:val="ListParagraph"/>
                    <w:numPr>
                      <w:ilvl w:val="0"/>
                      <w:numId w:val="18"/>
                    </w:numPr>
                    <w:ind w:left="346"/>
                    <w:rPr>
                      <w:rFonts w:ascii="Arial" w:hAnsi="Arial" w:cs="Arial"/>
                      <w:sz w:val="20"/>
                      <w:szCs w:val="20"/>
                    </w:rPr>
                  </w:pPr>
                  <w:r w:rsidRPr="00E51B78">
                    <w:rPr>
                      <w:rFonts w:ascii="Arial" w:hAnsi="Arial" w:cs="Arial"/>
                      <w:sz w:val="20"/>
                      <w:szCs w:val="20"/>
                    </w:rPr>
                    <w:t xml:space="preserve">Work with the pharmacy supply chain team and wholesaler to understand ordering </w:t>
                  </w:r>
                  <w:r w:rsidR="006D6E29" w:rsidRPr="00E51B78">
                    <w:rPr>
                      <w:rFonts w:ascii="Arial" w:hAnsi="Arial" w:cs="Arial"/>
                      <w:sz w:val="20"/>
                      <w:szCs w:val="20"/>
                    </w:rPr>
                    <w:t>frequencies and requirements</w:t>
                  </w:r>
                  <w:r w:rsidR="00505397" w:rsidRPr="00E51B78">
                    <w:rPr>
                      <w:rFonts w:ascii="Arial" w:hAnsi="Arial" w:cs="Arial"/>
                      <w:sz w:val="20"/>
                      <w:szCs w:val="20"/>
                    </w:rPr>
                    <w:t>.</w:t>
                  </w:r>
                  <w:r w:rsidR="006D6E29" w:rsidRPr="00E51B78">
                    <w:rPr>
                      <w:rFonts w:ascii="Arial" w:hAnsi="Arial" w:cs="Arial"/>
                      <w:sz w:val="20"/>
                      <w:szCs w:val="20"/>
                    </w:rPr>
                    <w:t xml:space="preserve"> </w:t>
                  </w:r>
                </w:p>
                <w:p w14:paraId="72FBD97A" w14:textId="4BA138C8" w:rsidR="006D6E29" w:rsidRPr="00E51B78" w:rsidRDefault="00AC3B30" w:rsidP="00C236A0">
                  <w:pPr>
                    <w:pStyle w:val="ListParagraph"/>
                    <w:numPr>
                      <w:ilvl w:val="0"/>
                      <w:numId w:val="18"/>
                    </w:numPr>
                    <w:ind w:left="346"/>
                    <w:rPr>
                      <w:rFonts w:ascii="Arial" w:hAnsi="Arial" w:cs="Arial"/>
                      <w:sz w:val="20"/>
                      <w:szCs w:val="20"/>
                    </w:rPr>
                  </w:pPr>
                  <w:r w:rsidRPr="00E51B78">
                    <w:rPr>
                      <w:rFonts w:ascii="Arial" w:hAnsi="Arial" w:cs="Arial"/>
                      <w:sz w:val="20"/>
                      <w:szCs w:val="20"/>
                    </w:rPr>
                    <w:t>Consider a</w:t>
                  </w:r>
                  <w:r w:rsidR="006D6E29" w:rsidRPr="00E51B78">
                    <w:rPr>
                      <w:rFonts w:ascii="Arial" w:hAnsi="Arial" w:cs="Arial"/>
                      <w:sz w:val="20"/>
                      <w:szCs w:val="20"/>
                    </w:rPr>
                    <w:t>djust</w:t>
                  </w:r>
                  <w:r w:rsidRPr="00E51B78">
                    <w:rPr>
                      <w:rFonts w:ascii="Arial" w:hAnsi="Arial" w:cs="Arial"/>
                      <w:sz w:val="20"/>
                      <w:szCs w:val="20"/>
                    </w:rPr>
                    <w:t>ing</w:t>
                  </w:r>
                  <w:r w:rsidR="006D6E29" w:rsidRPr="00E51B78">
                    <w:rPr>
                      <w:rFonts w:ascii="Arial" w:hAnsi="Arial" w:cs="Arial"/>
                      <w:sz w:val="20"/>
                      <w:szCs w:val="20"/>
                    </w:rPr>
                    <w:t xml:space="preserve"> </w:t>
                  </w:r>
                  <w:r w:rsidR="00DC5E0B" w:rsidRPr="00E51B78">
                    <w:rPr>
                      <w:rFonts w:ascii="Arial" w:hAnsi="Arial" w:cs="Arial"/>
                      <w:sz w:val="20"/>
                      <w:szCs w:val="20"/>
                    </w:rPr>
                    <w:t xml:space="preserve">periodic automatic replenishments (PARs) </w:t>
                  </w:r>
                  <w:r w:rsidR="006D6E29" w:rsidRPr="00E51B78">
                    <w:rPr>
                      <w:rFonts w:ascii="Arial" w:hAnsi="Arial" w:cs="Arial"/>
                      <w:sz w:val="20"/>
                      <w:szCs w:val="20"/>
                    </w:rPr>
                    <w:t>and ordering</w:t>
                  </w:r>
                  <w:r w:rsidR="00964894" w:rsidRPr="00E51B78">
                    <w:rPr>
                      <w:rFonts w:ascii="Arial" w:hAnsi="Arial" w:cs="Arial"/>
                      <w:sz w:val="20"/>
                      <w:szCs w:val="20"/>
                    </w:rPr>
                    <w:t xml:space="preserve"> timeframes </w:t>
                  </w:r>
                  <w:r w:rsidR="006D6E29" w:rsidRPr="00E51B78">
                    <w:rPr>
                      <w:rFonts w:ascii="Arial" w:hAnsi="Arial" w:cs="Arial"/>
                      <w:sz w:val="20"/>
                      <w:szCs w:val="20"/>
                    </w:rPr>
                    <w:t>to allow for accumulation capture prior to placing orders</w:t>
                  </w:r>
                  <w:r w:rsidR="00505397" w:rsidRPr="00E51B78">
                    <w:rPr>
                      <w:rFonts w:ascii="Arial" w:hAnsi="Arial" w:cs="Arial"/>
                      <w:sz w:val="20"/>
                      <w:szCs w:val="20"/>
                    </w:rPr>
                    <w:t>.</w:t>
                  </w:r>
                  <w:r w:rsidR="006D6E29" w:rsidRPr="00E51B78">
                    <w:rPr>
                      <w:rFonts w:ascii="Arial" w:hAnsi="Arial" w:cs="Arial"/>
                      <w:sz w:val="20"/>
                      <w:szCs w:val="20"/>
                    </w:rPr>
                    <w:t xml:space="preserve"> </w:t>
                  </w:r>
                </w:p>
              </w:tc>
            </w:tr>
          </w:tbl>
          <w:p w14:paraId="15C5D0EA" w14:textId="65DB1687" w:rsidR="00E12D64" w:rsidRPr="00E51B78" w:rsidRDefault="00E12D64" w:rsidP="002B3A5C">
            <w:pPr>
              <w:rPr>
                <w:rFonts w:ascii="Arial" w:hAnsi="Arial" w:cs="Arial"/>
                <w:sz w:val="20"/>
                <w:szCs w:val="20"/>
              </w:rPr>
            </w:pPr>
          </w:p>
        </w:tc>
      </w:tr>
    </w:tbl>
    <w:p w14:paraId="0E6D94E6" w14:textId="77777777" w:rsidR="00A2108D" w:rsidRPr="002B3A5C" w:rsidRDefault="00A2108D" w:rsidP="00157D40">
      <w:pPr>
        <w:rPr>
          <w:rFonts w:ascii="Arial" w:hAnsi="Arial" w:cs="Arial"/>
        </w:rPr>
      </w:pPr>
    </w:p>
    <w:p w14:paraId="37D26BB2" w14:textId="77777777" w:rsidR="00C157AB" w:rsidRDefault="00C157AB" w:rsidP="00157D40">
      <w:pPr>
        <w:rPr>
          <w:rFonts w:ascii="Arial" w:hAnsi="Arial" w:cs="Arial"/>
        </w:rPr>
      </w:pPr>
      <w:r w:rsidRPr="002B3A5C">
        <w:rPr>
          <w:rFonts w:ascii="Arial" w:hAnsi="Arial" w:cs="Arial"/>
          <w:b/>
          <w:bCs/>
        </w:rPr>
        <w:t>Step 4:</w:t>
      </w:r>
      <w:r w:rsidRPr="002B3A5C">
        <w:rPr>
          <w:rFonts w:ascii="Arial" w:hAnsi="Arial" w:cs="Arial"/>
        </w:rPr>
        <w:t xml:space="preserve"> Consider Other Ways to Optimize WAC Spend </w:t>
      </w:r>
    </w:p>
    <w:p w14:paraId="6AD1B05C" w14:textId="45005E70" w:rsidR="00807C66" w:rsidRPr="002B3A5C" w:rsidRDefault="0039596A" w:rsidP="00157D40">
      <w:pPr>
        <w:rPr>
          <w:rFonts w:ascii="Arial" w:hAnsi="Arial" w:cs="Arial"/>
        </w:rPr>
      </w:pPr>
      <w:r>
        <w:rPr>
          <w:rFonts w:ascii="Arial" w:hAnsi="Arial" w:cs="Arial"/>
        </w:rPr>
        <w:t xml:space="preserve">In addition to identifying and addressing potential root causes for WAC spend, the following table outlines additional methods for optimizing your entity’s WAC spend.  </w:t>
      </w:r>
    </w:p>
    <w:tbl>
      <w:tblPr>
        <w:tblStyle w:val="TableGrid"/>
        <w:tblW w:w="10620" w:type="dxa"/>
        <w:tblInd w:w="85" w:type="dxa"/>
        <w:tblLook w:val="04A0" w:firstRow="1" w:lastRow="0" w:firstColumn="1" w:lastColumn="0" w:noHBand="0" w:noVBand="1"/>
      </w:tblPr>
      <w:tblGrid>
        <w:gridCol w:w="1530"/>
        <w:gridCol w:w="9090"/>
      </w:tblGrid>
      <w:tr w:rsidR="00807C66" w:rsidRPr="00126B1C" w14:paraId="2E61CF03" w14:textId="77777777" w:rsidTr="00E51B78">
        <w:trPr>
          <w:trHeight w:val="280"/>
          <w:tblHeader/>
        </w:trPr>
        <w:tc>
          <w:tcPr>
            <w:tcW w:w="10620" w:type="dxa"/>
            <w:gridSpan w:val="2"/>
            <w:tcBorders>
              <w:bottom w:val="single" w:sz="4" w:space="0" w:color="5B9BD5" w:themeColor="accent1"/>
            </w:tcBorders>
            <w:shd w:val="clear" w:color="auto" w:fill="001D60"/>
          </w:tcPr>
          <w:p w14:paraId="659F613A" w14:textId="513ADA21" w:rsidR="00807C66" w:rsidRPr="003F3A7C" w:rsidRDefault="00807C66" w:rsidP="008017B8">
            <w:pPr>
              <w:jc w:val="center"/>
              <w:rPr>
                <w:rFonts w:ascii="Arial" w:hAnsi="Arial" w:cs="Arial"/>
                <w:b/>
                <w:color w:val="FFFFFF" w:themeColor="background1"/>
              </w:rPr>
            </w:pPr>
            <w:r w:rsidRPr="003F3A7C">
              <w:rPr>
                <w:rFonts w:ascii="Arial" w:hAnsi="Arial" w:cs="Arial"/>
                <w:b/>
                <w:color w:val="FFFFFF" w:themeColor="background1"/>
              </w:rPr>
              <w:t>Step 4: Consider Other Ways to Optimize WAC Spend</w:t>
            </w:r>
          </w:p>
        </w:tc>
      </w:tr>
      <w:tr w:rsidR="00807C66" w:rsidRPr="008017B8" w14:paraId="076F3E78" w14:textId="77777777" w:rsidTr="00E51B78">
        <w:tc>
          <w:tcPr>
            <w:tcW w:w="15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598F0EC" w14:textId="5202C650" w:rsidR="00807C66" w:rsidRPr="00E51B78" w:rsidRDefault="00807C66" w:rsidP="00E51B78">
            <w:pPr>
              <w:spacing w:before="120"/>
              <w:ind w:left="-15" w:firstLine="15"/>
              <w:rPr>
                <w:rFonts w:ascii="Arial" w:hAnsi="Arial" w:cs="Arial"/>
                <w:sz w:val="20"/>
                <w:szCs w:val="20"/>
              </w:rPr>
            </w:pPr>
            <w:r w:rsidRPr="00E51B78">
              <w:rPr>
                <w:rFonts w:ascii="Arial" w:hAnsi="Arial" w:cs="Arial"/>
                <w:sz w:val="20"/>
                <w:szCs w:val="20"/>
              </w:rPr>
              <w:t xml:space="preserve">4a: </w:t>
            </w:r>
            <w:r w:rsidR="00C11F2C" w:rsidRPr="00E51B78">
              <w:rPr>
                <w:rFonts w:ascii="Arial" w:hAnsi="Arial" w:cs="Arial"/>
                <w:sz w:val="20"/>
                <w:szCs w:val="20"/>
              </w:rPr>
              <w:t xml:space="preserve">Review the definition of covered outpatient drug </w:t>
            </w:r>
          </w:p>
        </w:tc>
        <w:tc>
          <w:tcPr>
            <w:tcW w:w="90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82C6A44" w14:textId="5D7E0B46" w:rsidR="00807C66" w:rsidRPr="00E51B78" w:rsidRDefault="003F3A7C" w:rsidP="00E51B78">
            <w:pPr>
              <w:pStyle w:val="ListParagraph"/>
              <w:numPr>
                <w:ilvl w:val="0"/>
                <w:numId w:val="5"/>
              </w:numPr>
              <w:spacing w:before="120"/>
              <w:ind w:left="446"/>
              <w:contextualSpacing w:val="0"/>
              <w:rPr>
                <w:rFonts w:ascii="Arial" w:hAnsi="Arial" w:cs="Arial"/>
                <w:sz w:val="20"/>
                <w:szCs w:val="20"/>
              </w:rPr>
            </w:pPr>
            <w:r w:rsidRPr="00E51B78">
              <w:rPr>
                <w:rFonts w:ascii="Arial" w:hAnsi="Arial" w:cs="Arial"/>
                <w:sz w:val="20"/>
                <w:szCs w:val="20"/>
              </w:rPr>
              <w:t>Define covered outpatient drug (COD) in your covered entity’s policies and procedures in accordance with section 1927(k) of the Social Security Act</w:t>
            </w:r>
            <w:r w:rsidR="006A1632" w:rsidRPr="00E51B78">
              <w:rPr>
                <w:rFonts w:ascii="Arial" w:hAnsi="Arial" w:cs="Arial"/>
                <w:sz w:val="20"/>
                <w:szCs w:val="20"/>
              </w:rPr>
              <w:t>.</w:t>
            </w:r>
          </w:p>
          <w:p w14:paraId="6CB6267D" w14:textId="168E2FDA" w:rsidR="00561133" w:rsidRPr="00E51B78" w:rsidRDefault="00BB3AF2" w:rsidP="00E51B78">
            <w:pPr>
              <w:pStyle w:val="ListParagraph"/>
              <w:numPr>
                <w:ilvl w:val="1"/>
                <w:numId w:val="5"/>
              </w:numPr>
              <w:ind w:left="1166"/>
              <w:contextualSpacing w:val="0"/>
              <w:rPr>
                <w:rFonts w:ascii="Arial" w:hAnsi="Arial" w:cs="Arial"/>
                <w:sz w:val="20"/>
                <w:szCs w:val="20"/>
              </w:rPr>
            </w:pPr>
            <w:r w:rsidRPr="00E51B78">
              <w:rPr>
                <w:rFonts w:ascii="Arial" w:hAnsi="Arial" w:cs="Arial"/>
                <w:sz w:val="20"/>
                <w:szCs w:val="20"/>
              </w:rPr>
              <w:t>This definition should be applied consistently across all areas of the organization</w:t>
            </w:r>
            <w:r w:rsidR="006A1632" w:rsidRPr="00E51B78">
              <w:rPr>
                <w:rFonts w:ascii="Arial" w:hAnsi="Arial" w:cs="Arial"/>
                <w:sz w:val="20"/>
                <w:szCs w:val="20"/>
              </w:rPr>
              <w:t>.</w:t>
            </w:r>
          </w:p>
          <w:p w14:paraId="2943EFB1" w14:textId="67CE70B2" w:rsidR="00B7116E" w:rsidRPr="00E51B78" w:rsidRDefault="00B7116E">
            <w:pPr>
              <w:pStyle w:val="ListParagraph"/>
              <w:numPr>
                <w:ilvl w:val="0"/>
                <w:numId w:val="5"/>
              </w:numPr>
              <w:rPr>
                <w:rFonts w:ascii="Arial" w:hAnsi="Arial" w:cs="Arial"/>
                <w:sz w:val="20"/>
                <w:szCs w:val="20"/>
              </w:rPr>
            </w:pPr>
            <w:r w:rsidRPr="00E51B78">
              <w:rPr>
                <w:rFonts w:ascii="Arial" w:hAnsi="Arial" w:cs="Arial"/>
                <w:sz w:val="20"/>
                <w:szCs w:val="20"/>
              </w:rPr>
              <w:t xml:space="preserve">Products that do not meet the COD definition may be purchased using a GPO while remaining compliant with the GPO </w:t>
            </w:r>
            <w:r w:rsidR="004471D1" w:rsidRPr="00E51B78">
              <w:rPr>
                <w:rFonts w:ascii="Arial" w:hAnsi="Arial" w:cs="Arial"/>
                <w:sz w:val="20"/>
                <w:szCs w:val="20"/>
              </w:rPr>
              <w:t>P</w:t>
            </w:r>
            <w:r w:rsidRPr="00E51B78">
              <w:rPr>
                <w:rFonts w:ascii="Arial" w:hAnsi="Arial" w:cs="Arial"/>
                <w:sz w:val="20"/>
                <w:szCs w:val="20"/>
              </w:rPr>
              <w:t>rohibition</w:t>
            </w:r>
            <w:r w:rsidR="006A1632" w:rsidRPr="00E51B78">
              <w:rPr>
                <w:rFonts w:ascii="Arial" w:hAnsi="Arial" w:cs="Arial"/>
                <w:sz w:val="20"/>
                <w:szCs w:val="20"/>
              </w:rPr>
              <w:t>.</w:t>
            </w:r>
          </w:p>
          <w:p w14:paraId="273A6CDE" w14:textId="5ED015DE" w:rsidR="003532D9" w:rsidRPr="00E51B78" w:rsidRDefault="00B7116E">
            <w:pPr>
              <w:pStyle w:val="ListParagraph"/>
              <w:numPr>
                <w:ilvl w:val="1"/>
                <w:numId w:val="5"/>
              </w:numPr>
              <w:rPr>
                <w:rFonts w:ascii="Arial" w:hAnsi="Arial" w:cs="Arial"/>
                <w:sz w:val="20"/>
                <w:szCs w:val="20"/>
              </w:rPr>
            </w:pPr>
            <w:r w:rsidRPr="00E51B78">
              <w:rPr>
                <w:rFonts w:ascii="Arial" w:hAnsi="Arial" w:cs="Arial"/>
                <w:sz w:val="20"/>
                <w:szCs w:val="20"/>
              </w:rPr>
              <w:t>Develop and maintain a list of non-COD drugs</w:t>
            </w:r>
            <w:r w:rsidR="00AB228A" w:rsidRPr="00E51B78">
              <w:rPr>
                <w:rFonts w:ascii="Arial" w:hAnsi="Arial" w:cs="Arial"/>
                <w:sz w:val="20"/>
                <w:szCs w:val="20"/>
              </w:rPr>
              <w:t xml:space="preserve"> and ensure that the drugs on the non-COD list consistently meet the criteria </w:t>
            </w:r>
            <w:r w:rsidR="00966684" w:rsidRPr="00E51B78">
              <w:rPr>
                <w:rFonts w:ascii="Arial" w:hAnsi="Arial" w:cs="Arial"/>
                <w:sz w:val="20"/>
                <w:szCs w:val="20"/>
              </w:rPr>
              <w:t>across all areas of the organization</w:t>
            </w:r>
            <w:r w:rsidR="00E41A30" w:rsidRPr="00E51B78">
              <w:rPr>
                <w:rFonts w:ascii="Arial" w:hAnsi="Arial" w:cs="Arial"/>
                <w:sz w:val="20"/>
                <w:szCs w:val="20"/>
              </w:rPr>
              <w:t>.</w:t>
            </w:r>
            <w:r w:rsidR="00AB228A" w:rsidRPr="00E51B78">
              <w:rPr>
                <w:rFonts w:ascii="Arial" w:hAnsi="Arial" w:cs="Arial"/>
                <w:sz w:val="20"/>
                <w:szCs w:val="20"/>
              </w:rPr>
              <w:t xml:space="preserve"> </w:t>
            </w:r>
          </w:p>
        </w:tc>
      </w:tr>
      <w:tr w:rsidR="00966684" w:rsidRPr="008017B8" w14:paraId="14501D76" w14:textId="77777777" w:rsidTr="00E51B78">
        <w:tc>
          <w:tcPr>
            <w:tcW w:w="15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1E081A0" w14:textId="25B625B9" w:rsidR="00966684" w:rsidRPr="00E51B78" w:rsidRDefault="00966684" w:rsidP="00E51B78">
            <w:pPr>
              <w:spacing w:before="120"/>
              <w:rPr>
                <w:rFonts w:ascii="Arial" w:hAnsi="Arial" w:cs="Arial"/>
                <w:sz w:val="20"/>
                <w:szCs w:val="20"/>
              </w:rPr>
            </w:pPr>
            <w:r w:rsidRPr="00E51B78">
              <w:rPr>
                <w:rFonts w:ascii="Arial" w:hAnsi="Arial" w:cs="Arial"/>
                <w:sz w:val="20"/>
                <w:szCs w:val="20"/>
              </w:rPr>
              <w:t xml:space="preserve">4b: </w:t>
            </w:r>
            <w:r w:rsidR="005C113B" w:rsidRPr="00E51B78">
              <w:rPr>
                <w:rFonts w:ascii="Arial" w:hAnsi="Arial" w:cs="Arial"/>
                <w:sz w:val="20"/>
                <w:szCs w:val="20"/>
              </w:rPr>
              <w:t xml:space="preserve">Evaluate for potential to establish </w:t>
            </w:r>
            <w:r w:rsidRPr="00E51B78">
              <w:rPr>
                <w:rFonts w:ascii="Arial" w:hAnsi="Arial" w:cs="Arial"/>
                <w:sz w:val="20"/>
                <w:szCs w:val="20"/>
              </w:rPr>
              <w:t>340B- or GPO-only inventory</w:t>
            </w:r>
            <w:r w:rsidR="002301B9" w:rsidRPr="00E51B78">
              <w:rPr>
                <w:rFonts w:ascii="Arial" w:hAnsi="Arial" w:cs="Arial"/>
                <w:sz w:val="20"/>
                <w:szCs w:val="20"/>
              </w:rPr>
              <w:t xml:space="preserve"> areas</w:t>
            </w:r>
          </w:p>
        </w:tc>
        <w:tc>
          <w:tcPr>
            <w:tcW w:w="90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B66752" w14:textId="179960F7" w:rsidR="003723A9" w:rsidRPr="00E51B78" w:rsidRDefault="003723A9" w:rsidP="003F1563">
            <w:pPr>
              <w:pStyle w:val="ListParagraph"/>
              <w:numPr>
                <w:ilvl w:val="0"/>
                <w:numId w:val="6"/>
              </w:numPr>
              <w:spacing w:before="76"/>
              <w:ind w:right="53"/>
              <w:rPr>
                <w:rFonts w:ascii="Arial" w:hAnsi="Arial" w:cs="Arial"/>
                <w:b/>
                <w:bCs/>
                <w:sz w:val="20"/>
                <w:szCs w:val="20"/>
              </w:rPr>
            </w:pPr>
            <w:r w:rsidRPr="00E51B78">
              <w:rPr>
                <w:rFonts w:ascii="Arial" w:hAnsi="Arial" w:cs="Arial"/>
                <w:b/>
                <w:bCs/>
                <w:sz w:val="20"/>
                <w:szCs w:val="20"/>
              </w:rPr>
              <w:t>340B-only inventory area</w:t>
            </w:r>
            <w:r w:rsidR="003F1563" w:rsidRPr="00E51B78">
              <w:rPr>
                <w:rFonts w:ascii="Arial" w:hAnsi="Arial" w:cs="Arial"/>
                <w:b/>
                <w:bCs/>
                <w:sz w:val="20"/>
                <w:szCs w:val="20"/>
              </w:rPr>
              <w:t xml:space="preserve">s: </w:t>
            </w:r>
          </w:p>
          <w:p w14:paraId="4387742F" w14:textId="1035CE7C" w:rsidR="003F1563" w:rsidRPr="00E51B78" w:rsidRDefault="003F1563" w:rsidP="003F1563">
            <w:pPr>
              <w:pStyle w:val="ListParagraph"/>
              <w:numPr>
                <w:ilvl w:val="1"/>
                <w:numId w:val="6"/>
              </w:numPr>
              <w:rPr>
                <w:rFonts w:ascii="Arial" w:hAnsi="Arial" w:cs="Arial"/>
                <w:sz w:val="20"/>
                <w:szCs w:val="20"/>
              </w:rPr>
            </w:pPr>
            <w:r w:rsidRPr="00E51B78">
              <w:rPr>
                <w:rFonts w:ascii="Arial" w:hAnsi="Arial" w:cs="Arial"/>
                <w:sz w:val="20"/>
                <w:szCs w:val="20"/>
              </w:rPr>
              <w:t>Sites that</w:t>
            </w:r>
            <w:r w:rsidR="00EC209A" w:rsidRPr="00E51B78">
              <w:rPr>
                <w:rFonts w:ascii="Arial" w:hAnsi="Arial" w:cs="Arial"/>
                <w:sz w:val="20"/>
                <w:szCs w:val="20"/>
              </w:rPr>
              <w:t xml:space="preserve"> carve in Medicaid and</w:t>
            </w:r>
            <w:r w:rsidRPr="00E51B78">
              <w:rPr>
                <w:rFonts w:ascii="Arial" w:hAnsi="Arial" w:cs="Arial"/>
                <w:sz w:val="20"/>
                <w:szCs w:val="20"/>
              </w:rPr>
              <w:t xml:space="preserve"> </w:t>
            </w:r>
            <w:r w:rsidR="004D0E7F" w:rsidRPr="00E51B78">
              <w:rPr>
                <w:rFonts w:ascii="Arial" w:hAnsi="Arial" w:cs="Arial"/>
                <w:sz w:val="20"/>
                <w:szCs w:val="20"/>
              </w:rPr>
              <w:t>dispense or administer</w:t>
            </w:r>
            <w:r w:rsidR="0050424A" w:rsidRPr="00E51B78">
              <w:rPr>
                <w:rFonts w:ascii="Arial" w:hAnsi="Arial" w:cs="Arial"/>
                <w:sz w:val="20"/>
                <w:szCs w:val="20"/>
              </w:rPr>
              <w:t xml:space="preserve"> products to 340B</w:t>
            </w:r>
            <w:r w:rsidR="00505397" w:rsidRPr="00E51B78">
              <w:rPr>
                <w:rFonts w:ascii="Arial" w:hAnsi="Arial" w:cs="Arial"/>
                <w:sz w:val="20"/>
                <w:szCs w:val="20"/>
              </w:rPr>
              <w:t>-</w:t>
            </w:r>
            <w:r w:rsidR="0050424A" w:rsidRPr="00E51B78">
              <w:rPr>
                <w:rFonts w:ascii="Arial" w:hAnsi="Arial" w:cs="Arial"/>
                <w:sz w:val="20"/>
                <w:szCs w:val="20"/>
              </w:rPr>
              <w:t>eligible patients only may consider using a 340B</w:t>
            </w:r>
            <w:r w:rsidR="0016334B" w:rsidRPr="00E51B78">
              <w:rPr>
                <w:rFonts w:ascii="Arial" w:hAnsi="Arial" w:cs="Arial"/>
                <w:sz w:val="20"/>
                <w:szCs w:val="20"/>
              </w:rPr>
              <w:t>-</w:t>
            </w:r>
            <w:r w:rsidR="0050424A" w:rsidRPr="00E51B78">
              <w:rPr>
                <w:rFonts w:ascii="Arial" w:hAnsi="Arial" w:cs="Arial"/>
                <w:sz w:val="20"/>
                <w:szCs w:val="20"/>
              </w:rPr>
              <w:t xml:space="preserve">only </w:t>
            </w:r>
            <w:r w:rsidR="00A82C24" w:rsidRPr="00E51B78">
              <w:rPr>
                <w:rFonts w:ascii="Arial" w:hAnsi="Arial" w:cs="Arial"/>
                <w:sz w:val="20"/>
                <w:szCs w:val="20"/>
              </w:rPr>
              <w:t xml:space="preserve">or physical 340B </w:t>
            </w:r>
            <w:r w:rsidR="0050424A" w:rsidRPr="00E51B78">
              <w:rPr>
                <w:rFonts w:ascii="Arial" w:hAnsi="Arial" w:cs="Arial"/>
                <w:sz w:val="20"/>
                <w:szCs w:val="20"/>
              </w:rPr>
              <w:t>inventory</w:t>
            </w:r>
            <w:r w:rsidR="00081A01" w:rsidRPr="00E51B78">
              <w:rPr>
                <w:rFonts w:ascii="Arial" w:hAnsi="Arial" w:cs="Arial"/>
                <w:sz w:val="20"/>
                <w:szCs w:val="20"/>
              </w:rPr>
              <w:t>.</w:t>
            </w:r>
            <w:r w:rsidR="0050424A" w:rsidRPr="00E51B78">
              <w:rPr>
                <w:rFonts w:ascii="Arial" w:hAnsi="Arial" w:cs="Arial"/>
                <w:sz w:val="20"/>
                <w:szCs w:val="20"/>
              </w:rPr>
              <w:t xml:space="preserve"> </w:t>
            </w:r>
          </w:p>
          <w:p w14:paraId="2CDCDDE4" w14:textId="3351D0C0" w:rsidR="00D6794D" w:rsidRPr="00E51B78" w:rsidRDefault="006C063C" w:rsidP="002B3A5C">
            <w:pPr>
              <w:pStyle w:val="ListParagraph"/>
              <w:numPr>
                <w:ilvl w:val="1"/>
                <w:numId w:val="6"/>
              </w:numPr>
              <w:rPr>
                <w:rFonts w:ascii="Arial" w:hAnsi="Arial" w:cs="Arial"/>
                <w:sz w:val="20"/>
                <w:szCs w:val="20"/>
              </w:rPr>
            </w:pPr>
            <w:r w:rsidRPr="00E51B78">
              <w:rPr>
                <w:rFonts w:ascii="Arial" w:hAnsi="Arial" w:cs="Arial"/>
                <w:sz w:val="20"/>
                <w:szCs w:val="20"/>
              </w:rPr>
              <w:t>Document the</w:t>
            </w:r>
            <w:r w:rsidR="00B252B9" w:rsidRPr="00E51B78">
              <w:rPr>
                <w:rFonts w:ascii="Arial" w:hAnsi="Arial" w:cs="Arial"/>
                <w:sz w:val="20"/>
                <w:szCs w:val="20"/>
              </w:rPr>
              <w:t xml:space="preserve"> 340B-only inventory areas in your policies and procedures and e</w:t>
            </w:r>
            <w:r w:rsidR="00D6794D" w:rsidRPr="00E51B78">
              <w:rPr>
                <w:rFonts w:ascii="Arial" w:hAnsi="Arial" w:cs="Arial"/>
                <w:sz w:val="20"/>
                <w:szCs w:val="20"/>
              </w:rPr>
              <w:t xml:space="preserve">nsure that you maintain auditable records to support 340B product going to 340B eligible patients </w:t>
            </w:r>
            <w:r w:rsidR="0016334B" w:rsidRPr="00E51B78">
              <w:rPr>
                <w:rFonts w:ascii="Arial" w:hAnsi="Arial" w:cs="Arial"/>
                <w:sz w:val="20"/>
                <w:szCs w:val="20"/>
              </w:rPr>
              <w:t>only</w:t>
            </w:r>
            <w:r w:rsidR="00785A9B" w:rsidRPr="00E51B78">
              <w:rPr>
                <w:rFonts w:ascii="Arial" w:hAnsi="Arial" w:cs="Arial"/>
                <w:sz w:val="20"/>
                <w:szCs w:val="20"/>
              </w:rPr>
              <w:t>.</w:t>
            </w:r>
            <w:r w:rsidR="0016334B" w:rsidRPr="00E51B78">
              <w:rPr>
                <w:rFonts w:ascii="Arial" w:hAnsi="Arial" w:cs="Arial"/>
                <w:sz w:val="20"/>
                <w:szCs w:val="20"/>
              </w:rPr>
              <w:t xml:space="preserve"> </w:t>
            </w:r>
          </w:p>
          <w:p w14:paraId="47438D7D" w14:textId="744278FD" w:rsidR="000D6ED0" w:rsidRPr="00E51B78" w:rsidRDefault="000D6ED0" w:rsidP="009734A0">
            <w:pPr>
              <w:pStyle w:val="ListParagraph"/>
              <w:numPr>
                <w:ilvl w:val="1"/>
                <w:numId w:val="6"/>
              </w:numPr>
              <w:rPr>
                <w:rFonts w:ascii="Arial" w:hAnsi="Arial" w:cs="Arial"/>
                <w:sz w:val="20"/>
                <w:szCs w:val="20"/>
              </w:rPr>
            </w:pPr>
            <w:r w:rsidRPr="00E51B78">
              <w:rPr>
                <w:rFonts w:ascii="Arial" w:hAnsi="Arial" w:cs="Arial"/>
                <w:sz w:val="20"/>
                <w:szCs w:val="20"/>
              </w:rPr>
              <w:t xml:space="preserve">Operationalizing a 340B-only inventory may </w:t>
            </w:r>
            <w:r w:rsidR="00B32630" w:rsidRPr="00E51B78">
              <w:rPr>
                <w:rFonts w:ascii="Arial" w:hAnsi="Arial" w:cs="Arial"/>
                <w:sz w:val="20"/>
                <w:szCs w:val="20"/>
              </w:rPr>
              <w:t>involve</w:t>
            </w:r>
            <w:r w:rsidRPr="00E51B78">
              <w:rPr>
                <w:rFonts w:ascii="Arial" w:hAnsi="Arial" w:cs="Arial"/>
                <w:sz w:val="20"/>
                <w:szCs w:val="20"/>
              </w:rPr>
              <w:t xml:space="preserve">: </w:t>
            </w:r>
          </w:p>
          <w:p w14:paraId="7208A931" w14:textId="42467407" w:rsidR="0052623C" w:rsidRPr="00E51B78" w:rsidRDefault="000D6ED0" w:rsidP="000D6ED0">
            <w:pPr>
              <w:pStyle w:val="ListParagraph"/>
              <w:numPr>
                <w:ilvl w:val="2"/>
                <w:numId w:val="6"/>
              </w:numPr>
              <w:rPr>
                <w:rFonts w:ascii="Arial" w:hAnsi="Arial" w:cs="Arial"/>
                <w:sz w:val="20"/>
                <w:szCs w:val="20"/>
              </w:rPr>
            </w:pPr>
            <w:r w:rsidRPr="00E51B78">
              <w:rPr>
                <w:rFonts w:ascii="Arial" w:hAnsi="Arial" w:cs="Arial"/>
                <w:sz w:val="20"/>
                <w:szCs w:val="20"/>
              </w:rPr>
              <w:t>O</w:t>
            </w:r>
            <w:r w:rsidR="009734A0" w:rsidRPr="00E51B78">
              <w:rPr>
                <w:rFonts w:ascii="Arial" w:hAnsi="Arial" w:cs="Arial"/>
                <w:sz w:val="20"/>
                <w:szCs w:val="20"/>
              </w:rPr>
              <w:t>rder</w:t>
            </w:r>
            <w:r w:rsidRPr="00E51B78">
              <w:rPr>
                <w:rFonts w:ascii="Arial" w:hAnsi="Arial" w:cs="Arial"/>
                <w:sz w:val="20"/>
                <w:szCs w:val="20"/>
              </w:rPr>
              <w:t>ing</w:t>
            </w:r>
            <w:r w:rsidR="009734A0" w:rsidRPr="00E51B78">
              <w:rPr>
                <w:rFonts w:ascii="Arial" w:hAnsi="Arial" w:cs="Arial"/>
                <w:sz w:val="20"/>
                <w:szCs w:val="20"/>
              </w:rPr>
              <w:t xml:space="preserve"> on a 340B account that is separate from the split</w:t>
            </w:r>
            <w:r w:rsidR="003F398E" w:rsidRPr="00E51B78">
              <w:rPr>
                <w:rFonts w:ascii="Arial" w:hAnsi="Arial" w:cs="Arial"/>
                <w:sz w:val="20"/>
                <w:szCs w:val="20"/>
              </w:rPr>
              <w:t>-</w:t>
            </w:r>
            <w:r w:rsidR="009734A0" w:rsidRPr="00E51B78">
              <w:rPr>
                <w:rFonts w:ascii="Arial" w:hAnsi="Arial" w:cs="Arial"/>
                <w:sz w:val="20"/>
                <w:szCs w:val="20"/>
              </w:rPr>
              <w:t xml:space="preserve">billing </w:t>
            </w:r>
            <w:r w:rsidR="00EC7124" w:rsidRPr="00E51B78">
              <w:rPr>
                <w:rFonts w:ascii="Arial" w:hAnsi="Arial" w:cs="Arial"/>
                <w:sz w:val="20"/>
                <w:szCs w:val="20"/>
              </w:rPr>
              <w:t xml:space="preserve">software </w:t>
            </w:r>
            <w:r w:rsidR="009734A0" w:rsidRPr="00E51B78">
              <w:rPr>
                <w:rFonts w:ascii="Arial" w:hAnsi="Arial" w:cs="Arial"/>
                <w:sz w:val="20"/>
                <w:szCs w:val="20"/>
              </w:rPr>
              <w:t>and block</w:t>
            </w:r>
            <w:r w:rsidR="00785A9B" w:rsidRPr="00E51B78">
              <w:rPr>
                <w:rFonts w:ascii="Arial" w:hAnsi="Arial" w:cs="Arial"/>
                <w:sz w:val="20"/>
                <w:szCs w:val="20"/>
              </w:rPr>
              <w:t>ing</w:t>
            </w:r>
            <w:r w:rsidR="009734A0" w:rsidRPr="00E51B78">
              <w:rPr>
                <w:rFonts w:ascii="Arial" w:hAnsi="Arial" w:cs="Arial"/>
                <w:sz w:val="20"/>
                <w:szCs w:val="20"/>
              </w:rPr>
              <w:t xml:space="preserve"> </w:t>
            </w:r>
            <w:r w:rsidR="0052623C" w:rsidRPr="00E51B78">
              <w:rPr>
                <w:rFonts w:ascii="Arial" w:hAnsi="Arial" w:cs="Arial"/>
                <w:sz w:val="20"/>
                <w:szCs w:val="20"/>
              </w:rPr>
              <w:t xml:space="preserve">administrations or </w:t>
            </w:r>
            <w:r w:rsidR="009734A0" w:rsidRPr="00E51B78">
              <w:rPr>
                <w:rFonts w:ascii="Arial" w:hAnsi="Arial" w:cs="Arial"/>
                <w:sz w:val="20"/>
                <w:szCs w:val="20"/>
              </w:rPr>
              <w:t xml:space="preserve">dispensations </w:t>
            </w:r>
            <w:r w:rsidR="0052623C" w:rsidRPr="00E51B78">
              <w:rPr>
                <w:rFonts w:ascii="Arial" w:hAnsi="Arial" w:cs="Arial"/>
                <w:sz w:val="20"/>
                <w:szCs w:val="20"/>
              </w:rPr>
              <w:t xml:space="preserve">from the 340B-only areas </w:t>
            </w:r>
            <w:r w:rsidR="009734A0" w:rsidRPr="00E51B78">
              <w:rPr>
                <w:rFonts w:ascii="Arial" w:hAnsi="Arial" w:cs="Arial"/>
                <w:sz w:val="20"/>
                <w:szCs w:val="20"/>
              </w:rPr>
              <w:t>from feeding into the accumulations within the system</w:t>
            </w:r>
            <w:r w:rsidR="00B32630" w:rsidRPr="00E51B78">
              <w:rPr>
                <w:rFonts w:ascii="Arial" w:hAnsi="Arial" w:cs="Arial"/>
                <w:sz w:val="20"/>
                <w:szCs w:val="20"/>
              </w:rPr>
              <w:t xml:space="preserve">, or </w:t>
            </w:r>
          </w:p>
          <w:p w14:paraId="2642F79C" w14:textId="1052671F" w:rsidR="009734A0" w:rsidRPr="00E51B78" w:rsidRDefault="00931767">
            <w:pPr>
              <w:pStyle w:val="ListParagraph"/>
              <w:numPr>
                <w:ilvl w:val="2"/>
                <w:numId w:val="6"/>
              </w:numPr>
              <w:rPr>
                <w:rFonts w:ascii="Arial" w:hAnsi="Arial" w:cs="Arial"/>
                <w:sz w:val="20"/>
                <w:szCs w:val="20"/>
              </w:rPr>
            </w:pPr>
            <w:r w:rsidRPr="00E51B78">
              <w:rPr>
                <w:rFonts w:ascii="Arial" w:hAnsi="Arial" w:cs="Arial"/>
                <w:sz w:val="20"/>
                <w:szCs w:val="20"/>
              </w:rPr>
              <w:t xml:space="preserve">Creating a </w:t>
            </w:r>
            <w:r w:rsidR="009734A0" w:rsidRPr="00E51B78">
              <w:rPr>
                <w:rFonts w:ascii="Arial" w:hAnsi="Arial" w:cs="Arial"/>
                <w:sz w:val="20"/>
                <w:szCs w:val="20"/>
              </w:rPr>
              <w:t xml:space="preserve">separate instance of </w:t>
            </w:r>
            <w:r w:rsidRPr="00E51B78">
              <w:rPr>
                <w:rFonts w:ascii="Arial" w:hAnsi="Arial" w:cs="Arial"/>
                <w:sz w:val="20"/>
                <w:szCs w:val="20"/>
              </w:rPr>
              <w:t xml:space="preserve">your </w:t>
            </w:r>
            <w:r w:rsidR="009734A0" w:rsidRPr="00E51B78">
              <w:rPr>
                <w:rFonts w:ascii="Arial" w:hAnsi="Arial" w:cs="Arial"/>
                <w:sz w:val="20"/>
                <w:szCs w:val="20"/>
              </w:rPr>
              <w:t>split</w:t>
            </w:r>
            <w:r w:rsidR="003F398E" w:rsidRPr="00E51B78">
              <w:rPr>
                <w:rFonts w:ascii="Arial" w:hAnsi="Arial" w:cs="Arial"/>
                <w:sz w:val="20"/>
                <w:szCs w:val="20"/>
              </w:rPr>
              <w:t>-</w:t>
            </w:r>
            <w:r w:rsidR="009734A0" w:rsidRPr="00E51B78">
              <w:rPr>
                <w:rFonts w:ascii="Arial" w:hAnsi="Arial" w:cs="Arial"/>
                <w:sz w:val="20"/>
                <w:szCs w:val="20"/>
              </w:rPr>
              <w:t xml:space="preserve">billing software for </w:t>
            </w:r>
            <w:r w:rsidRPr="00E51B78">
              <w:rPr>
                <w:rFonts w:ascii="Arial" w:hAnsi="Arial" w:cs="Arial"/>
                <w:sz w:val="20"/>
                <w:szCs w:val="20"/>
              </w:rPr>
              <w:t>the 340B-only inventory area</w:t>
            </w:r>
            <w:r w:rsidR="00E84AAF" w:rsidRPr="00E51B78">
              <w:rPr>
                <w:rFonts w:ascii="Arial" w:hAnsi="Arial" w:cs="Arial"/>
                <w:sz w:val="20"/>
                <w:szCs w:val="20"/>
              </w:rPr>
              <w:t>s</w:t>
            </w:r>
            <w:r w:rsidRPr="00E51B78">
              <w:rPr>
                <w:rFonts w:ascii="Arial" w:hAnsi="Arial" w:cs="Arial"/>
                <w:sz w:val="20"/>
                <w:szCs w:val="20"/>
              </w:rPr>
              <w:t xml:space="preserve"> </w:t>
            </w:r>
            <w:r w:rsidR="009734A0" w:rsidRPr="00E51B78">
              <w:rPr>
                <w:rFonts w:ascii="Arial" w:hAnsi="Arial" w:cs="Arial"/>
                <w:sz w:val="20"/>
                <w:szCs w:val="20"/>
              </w:rPr>
              <w:t xml:space="preserve">to </w:t>
            </w:r>
            <w:r w:rsidRPr="00E51B78">
              <w:rPr>
                <w:rFonts w:ascii="Arial" w:hAnsi="Arial" w:cs="Arial"/>
                <w:sz w:val="20"/>
                <w:szCs w:val="20"/>
              </w:rPr>
              <w:t>support maintaining auditable records</w:t>
            </w:r>
            <w:r w:rsidR="00785A9B" w:rsidRPr="00E51B78">
              <w:rPr>
                <w:rFonts w:ascii="Arial" w:hAnsi="Arial" w:cs="Arial"/>
                <w:sz w:val="20"/>
                <w:szCs w:val="20"/>
              </w:rPr>
              <w:t>.</w:t>
            </w:r>
          </w:p>
          <w:p w14:paraId="444AC024" w14:textId="0DE7AABA" w:rsidR="00D23894" w:rsidRPr="00E51B78" w:rsidRDefault="00D23894" w:rsidP="00D23894">
            <w:pPr>
              <w:rPr>
                <w:rFonts w:ascii="Arial" w:hAnsi="Arial" w:cs="Arial"/>
                <w:sz w:val="20"/>
                <w:szCs w:val="20"/>
              </w:rPr>
            </w:pPr>
          </w:p>
          <w:p w14:paraId="746C0DC4" w14:textId="77777777" w:rsidR="00D23894" w:rsidRDefault="00D23894">
            <w:pPr>
              <w:rPr>
                <w:rFonts w:ascii="Arial" w:hAnsi="Arial" w:cs="Arial"/>
                <w:sz w:val="20"/>
                <w:szCs w:val="20"/>
              </w:rPr>
            </w:pPr>
          </w:p>
          <w:p w14:paraId="2C94AEBF" w14:textId="77777777" w:rsidR="004A43B3" w:rsidRDefault="004A43B3">
            <w:pPr>
              <w:rPr>
                <w:rFonts w:ascii="Arial" w:hAnsi="Arial" w:cs="Arial"/>
                <w:sz w:val="20"/>
                <w:szCs w:val="20"/>
              </w:rPr>
            </w:pPr>
          </w:p>
          <w:p w14:paraId="2729159D" w14:textId="77777777" w:rsidR="004A43B3" w:rsidRDefault="004A43B3">
            <w:pPr>
              <w:rPr>
                <w:rFonts w:ascii="Arial" w:hAnsi="Arial" w:cs="Arial"/>
                <w:sz w:val="20"/>
                <w:szCs w:val="20"/>
              </w:rPr>
            </w:pPr>
          </w:p>
          <w:p w14:paraId="1B50EC98" w14:textId="77777777" w:rsidR="004A43B3" w:rsidRPr="00E51B78" w:rsidRDefault="004A43B3" w:rsidP="00E51B78">
            <w:pPr>
              <w:rPr>
                <w:rFonts w:ascii="Arial" w:hAnsi="Arial" w:cs="Arial"/>
                <w:sz w:val="20"/>
                <w:szCs w:val="20"/>
              </w:rPr>
            </w:pPr>
          </w:p>
          <w:p w14:paraId="3CA70E68" w14:textId="3178EE52" w:rsidR="003F1563" w:rsidRPr="00E51B78" w:rsidRDefault="009734A0" w:rsidP="009734A0">
            <w:pPr>
              <w:pStyle w:val="ListParagraph"/>
              <w:numPr>
                <w:ilvl w:val="0"/>
                <w:numId w:val="6"/>
              </w:numPr>
              <w:spacing w:before="76"/>
              <w:ind w:right="53"/>
              <w:rPr>
                <w:rFonts w:ascii="Arial" w:hAnsi="Arial" w:cs="Arial"/>
                <w:b/>
                <w:bCs/>
                <w:sz w:val="20"/>
                <w:szCs w:val="20"/>
              </w:rPr>
            </w:pPr>
            <w:r w:rsidRPr="00E51B78">
              <w:rPr>
                <w:rFonts w:ascii="Arial" w:hAnsi="Arial" w:cs="Arial"/>
                <w:b/>
                <w:bCs/>
                <w:sz w:val="20"/>
                <w:szCs w:val="20"/>
              </w:rPr>
              <w:lastRenderedPageBreak/>
              <w:t xml:space="preserve">GPO-only inventory areas: </w:t>
            </w:r>
          </w:p>
          <w:p w14:paraId="4479C85C" w14:textId="32B0D39F" w:rsidR="0016334B" w:rsidRPr="00E51B78" w:rsidRDefault="004D0E7F" w:rsidP="009734A0">
            <w:pPr>
              <w:pStyle w:val="ListParagraph"/>
              <w:numPr>
                <w:ilvl w:val="1"/>
                <w:numId w:val="6"/>
              </w:numPr>
              <w:spacing w:before="76"/>
              <w:ind w:right="53"/>
              <w:rPr>
                <w:rFonts w:ascii="Arial" w:hAnsi="Arial" w:cs="Arial"/>
                <w:sz w:val="20"/>
                <w:szCs w:val="20"/>
              </w:rPr>
            </w:pPr>
            <w:r w:rsidRPr="00E51B78">
              <w:rPr>
                <w:rFonts w:ascii="Arial" w:hAnsi="Arial" w:cs="Arial"/>
                <w:sz w:val="20"/>
                <w:szCs w:val="20"/>
              </w:rPr>
              <w:t xml:space="preserve">Sites that administer products to inpatients only may </w:t>
            </w:r>
            <w:r w:rsidR="0016334B" w:rsidRPr="00E51B78">
              <w:rPr>
                <w:rFonts w:ascii="Arial" w:hAnsi="Arial" w:cs="Arial"/>
                <w:sz w:val="20"/>
                <w:szCs w:val="20"/>
              </w:rPr>
              <w:t xml:space="preserve">consider using a </w:t>
            </w:r>
            <w:r w:rsidRPr="00E51B78">
              <w:rPr>
                <w:rFonts w:ascii="Arial" w:hAnsi="Arial" w:cs="Arial"/>
                <w:sz w:val="20"/>
                <w:szCs w:val="20"/>
              </w:rPr>
              <w:t xml:space="preserve">GPO-only </w:t>
            </w:r>
            <w:r w:rsidR="00A82C24" w:rsidRPr="00E51B78">
              <w:rPr>
                <w:rFonts w:ascii="Arial" w:hAnsi="Arial" w:cs="Arial"/>
                <w:sz w:val="20"/>
                <w:szCs w:val="20"/>
              </w:rPr>
              <w:t xml:space="preserve">or physical GPO </w:t>
            </w:r>
            <w:r w:rsidRPr="00E51B78">
              <w:rPr>
                <w:rFonts w:ascii="Arial" w:hAnsi="Arial" w:cs="Arial"/>
                <w:sz w:val="20"/>
                <w:szCs w:val="20"/>
              </w:rPr>
              <w:t>inventory</w:t>
            </w:r>
            <w:r w:rsidR="00104339" w:rsidRPr="00E51B78">
              <w:rPr>
                <w:rFonts w:ascii="Arial" w:hAnsi="Arial" w:cs="Arial"/>
                <w:sz w:val="20"/>
                <w:szCs w:val="20"/>
              </w:rPr>
              <w:t>.</w:t>
            </w:r>
            <w:r w:rsidRPr="00E51B78">
              <w:rPr>
                <w:rFonts w:ascii="Arial" w:hAnsi="Arial" w:cs="Arial"/>
                <w:sz w:val="20"/>
                <w:szCs w:val="20"/>
              </w:rPr>
              <w:t xml:space="preserve"> </w:t>
            </w:r>
          </w:p>
          <w:p w14:paraId="7E9ED2E4" w14:textId="7A04E769" w:rsidR="008F61FF" w:rsidRPr="00E51B78" w:rsidRDefault="0016334B" w:rsidP="009734A0">
            <w:pPr>
              <w:pStyle w:val="ListParagraph"/>
              <w:numPr>
                <w:ilvl w:val="1"/>
                <w:numId w:val="6"/>
              </w:numPr>
              <w:spacing w:before="76"/>
              <w:ind w:right="53"/>
              <w:rPr>
                <w:rFonts w:ascii="Arial" w:hAnsi="Arial" w:cs="Arial"/>
                <w:sz w:val="20"/>
                <w:szCs w:val="20"/>
              </w:rPr>
            </w:pPr>
            <w:r w:rsidRPr="00E51B78">
              <w:rPr>
                <w:rFonts w:ascii="Arial" w:hAnsi="Arial" w:cs="Arial"/>
                <w:sz w:val="20"/>
                <w:szCs w:val="20"/>
              </w:rPr>
              <w:t xml:space="preserve">Alternatively, </w:t>
            </w:r>
            <w:r w:rsidR="00A82C24" w:rsidRPr="00E51B78">
              <w:rPr>
                <w:rFonts w:ascii="Arial" w:hAnsi="Arial" w:cs="Arial"/>
                <w:sz w:val="20"/>
                <w:szCs w:val="20"/>
              </w:rPr>
              <w:t xml:space="preserve">medications </w:t>
            </w:r>
            <w:r w:rsidRPr="00E51B78">
              <w:rPr>
                <w:rFonts w:ascii="Arial" w:hAnsi="Arial" w:cs="Arial"/>
                <w:sz w:val="20"/>
                <w:szCs w:val="20"/>
              </w:rPr>
              <w:t xml:space="preserve">that are </w:t>
            </w:r>
            <w:r w:rsidR="00832CAB" w:rsidRPr="00E51B78">
              <w:rPr>
                <w:rFonts w:ascii="Arial" w:hAnsi="Arial" w:cs="Arial"/>
                <w:sz w:val="20"/>
                <w:szCs w:val="20"/>
              </w:rPr>
              <w:t xml:space="preserve">restricted and administered only to inpatients may be </w:t>
            </w:r>
            <w:r w:rsidR="008F61FF" w:rsidRPr="00E51B78">
              <w:rPr>
                <w:rFonts w:ascii="Arial" w:hAnsi="Arial" w:cs="Arial"/>
                <w:sz w:val="20"/>
                <w:szCs w:val="20"/>
              </w:rPr>
              <w:t xml:space="preserve">designated as inpatient use only and purchased </w:t>
            </w:r>
            <w:r w:rsidR="003F398E" w:rsidRPr="00E51B78">
              <w:rPr>
                <w:rFonts w:ascii="Arial" w:hAnsi="Arial" w:cs="Arial"/>
                <w:sz w:val="20"/>
                <w:szCs w:val="20"/>
              </w:rPr>
              <w:t xml:space="preserve">exclusively </w:t>
            </w:r>
            <w:r w:rsidR="008F61FF" w:rsidRPr="00E51B78">
              <w:rPr>
                <w:rFonts w:ascii="Arial" w:hAnsi="Arial" w:cs="Arial"/>
                <w:sz w:val="20"/>
                <w:szCs w:val="20"/>
              </w:rPr>
              <w:t>on the GPO account</w:t>
            </w:r>
            <w:r w:rsidR="00104339" w:rsidRPr="00E51B78">
              <w:rPr>
                <w:rFonts w:ascii="Arial" w:hAnsi="Arial" w:cs="Arial"/>
                <w:sz w:val="20"/>
                <w:szCs w:val="20"/>
              </w:rPr>
              <w:t>.</w:t>
            </w:r>
            <w:r w:rsidR="008F61FF" w:rsidRPr="00E51B78">
              <w:rPr>
                <w:rFonts w:ascii="Arial" w:hAnsi="Arial" w:cs="Arial"/>
                <w:sz w:val="20"/>
                <w:szCs w:val="20"/>
              </w:rPr>
              <w:t xml:space="preserve"> </w:t>
            </w:r>
          </w:p>
          <w:p w14:paraId="45AEF841" w14:textId="3C0E2E6F" w:rsidR="00686997" w:rsidRPr="00E51B78" w:rsidRDefault="005C113B" w:rsidP="003648DF">
            <w:pPr>
              <w:pStyle w:val="ListParagraph"/>
              <w:numPr>
                <w:ilvl w:val="2"/>
                <w:numId w:val="6"/>
              </w:numPr>
              <w:spacing w:before="76"/>
              <w:ind w:right="53"/>
              <w:rPr>
                <w:rFonts w:ascii="Arial" w:hAnsi="Arial" w:cs="Arial"/>
                <w:sz w:val="20"/>
                <w:szCs w:val="20"/>
              </w:rPr>
            </w:pPr>
            <w:r w:rsidRPr="00E51B78">
              <w:rPr>
                <w:rFonts w:ascii="Arial" w:hAnsi="Arial" w:cs="Arial"/>
                <w:sz w:val="20"/>
                <w:szCs w:val="20"/>
              </w:rPr>
              <w:t>Ensure that the products on the inpatient</w:t>
            </w:r>
            <w:r w:rsidR="003F398E" w:rsidRPr="00E51B78">
              <w:rPr>
                <w:rFonts w:ascii="Arial" w:hAnsi="Arial" w:cs="Arial"/>
                <w:sz w:val="20"/>
                <w:szCs w:val="20"/>
              </w:rPr>
              <w:t>-</w:t>
            </w:r>
            <w:r w:rsidRPr="00E51B78">
              <w:rPr>
                <w:rFonts w:ascii="Arial" w:hAnsi="Arial" w:cs="Arial"/>
                <w:sz w:val="20"/>
                <w:szCs w:val="20"/>
              </w:rPr>
              <w:t>use</w:t>
            </w:r>
            <w:r w:rsidR="003F398E" w:rsidRPr="00E51B78">
              <w:rPr>
                <w:rFonts w:ascii="Arial" w:hAnsi="Arial" w:cs="Arial"/>
                <w:sz w:val="20"/>
                <w:szCs w:val="20"/>
              </w:rPr>
              <w:t>-</w:t>
            </w:r>
            <w:r w:rsidRPr="00E51B78">
              <w:rPr>
                <w:rFonts w:ascii="Arial" w:hAnsi="Arial" w:cs="Arial"/>
                <w:sz w:val="20"/>
                <w:szCs w:val="20"/>
              </w:rPr>
              <w:t xml:space="preserve">only list are truly only used for inpatients and not used for inpatients “most of the time” (e.g., </w:t>
            </w:r>
            <w:r w:rsidR="007B399F" w:rsidRPr="00E51B78">
              <w:rPr>
                <w:rFonts w:ascii="Arial" w:hAnsi="Arial" w:cs="Arial"/>
                <w:sz w:val="20"/>
                <w:szCs w:val="20"/>
              </w:rPr>
              <w:t>bedded outpatients located on inpatient units</w:t>
            </w:r>
            <w:r w:rsidRPr="00E51B78">
              <w:rPr>
                <w:rFonts w:ascii="Arial" w:hAnsi="Arial" w:cs="Arial"/>
                <w:sz w:val="20"/>
                <w:szCs w:val="20"/>
              </w:rPr>
              <w:t>)</w:t>
            </w:r>
            <w:r w:rsidR="00104339" w:rsidRPr="00E51B78">
              <w:rPr>
                <w:rFonts w:ascii="Arial" w:hAnsi="Arial" w:cs="Arial"/>
                <w:sz w:val="20"/>
                <w:szCs w:val="20"/>
              </w:rPr>
              <w:t>.</w:t>
            </w:r>
            <w:r w:rsidRPr="00E51B78">
              <w:rPr>
                <w:rFonts w:ascii="Arial" w:hAnsi="Arial" w:cs="Arial"/>
                <w:sz w:val="20"/>
                <w:szCs w:val="20"/>
              </w:rPr>
              <w:t xml:space="preserve"> </w:t>
            </w:r>
          </w:p>
          <w:p w14:paraId="061A8EED" w14:textId="57EBE8E4" w:rsidR="00AE10F9" w:rsidRPr="00E51B78" w:rsidRDefault="00B252B9">
            <w:pPr>
              <w:pStyle w:val="ListParagraph"/>
              <w:numPr>
                <w:ilvl w:val="1"/>
                <w:numId w:val="6"/>
              </w:numPr>
              <w:rPr>
                <w:rFonts w:ascii="Arial" w:hAnsi="Arial" w:cs="Arial"/>
                <w:sz w:val="20"/>
                <w:szCs w:val="20"/>
              </w:rPr>
            </w:pPr>
            <w:r w:rsidRPr="00E51B78">
              <w:rPr>
                <w:rFonts w:ascii="Arial" w:hAnsi="Arial" w:cs="Arial"/>
                <w:sz w:val="20"/>
                <w:szCs w:val="20"/>
              </w:rPr>
              <w:t>Document the GPO-only inventory areas o</w:t>
            </w:r>
            <w:r w:rsidR="006C41F7" w:rsidRPr="00E51B78">
              <w:rPr>
                <w:rFonts w:ascii="Arial" w:hAnsi="Arial" w:cs="Arial"/>
                <w:sz w:val="20"/>
                <w:szCs w:val="20"/>
              </w:rPr>
              <w:t>r</w:t>
            </w:r>
            <w:r w:rsidRPr="00E51B78">
              <w:rPr>
                <w:rFonts w:ascii="Arial" w:hAnsi="Arial" w:cs="Arial"/>
                <w:sz w:val="20"/>
                <w:szCs w:val="20"/>
              </w:rPr>
              <w:t xml:space="preserve"> products in your policies and procedures</w:t>
            </w:r>
            <w:r w:rsidR="00DA74CB" w:rsidRPr="00E51B78">
              <w:rPr>
                <w:rFonts w:ascii="Arial" w:hAnsi="Arial" w:cs="Arial"/>
                <w:sz w:val="20"/>
                <w:szCs w:val="20"/>
              </w:rPr>
              <w:t xml:space="preserve"> </w:t>
            </w:r>
            <w:r w:rsidRPr="00E51B78">
              <w:rPr>
                <w:rFonts w:ascii="Arial" w:hAnsi="Arial" w:cs="Arial"/>
                <w:sz w:val="20"/>
                <w:szCs w:val="20"/>
              </w:rPr>
              <w:t>and e</w:t>
            </w:r>
            <w:r w:rsidR="00802622" w:rsidRPr="00E51B78">
              <w:rPr>
                <w:rFonts w:ascii="Arial" w:hAnsi="Arial" w:cs="Arial"/>
                <w:sz w:val="20"/>
                <w:szCs w:val="20"/>
              </w:rPr>
              <w:t xml:space="preserve">nsure that you maintain auditable records to support GPO product going to </w:t>
            </w:r>
            <w:r w:rsidR="006C063C" w:rsidRPr="00E51B78">
              <w:rPr>
                <w:rFonts w:ascii="Arial" w:hAnsi="Arial" w:cs="Arial"/>
                <w:sz w:val="20"/>
                <w:szCs w:val="20"/>
              </w:rPr>
              <w:t>inpatients only</w:t>
            </w:r>
            <w:r w:rsidR="007C0D89" w:rsidRPr="00E51B78">
              <w:rPr>
                <w:rFonts w:ascii="Arial" w:hAnsi="Arial" w:cs="Arial"/>
                <w:sz w:val="20"/>
                <w:szCs w:val="20"/>
              </w:rPr>
              <w:t>.</w:t>
            </w:r>
            <w:r w:rsidR="006C063C" w:rsidRPr="00E51B78">
              <w:rPr>
                <w:rFonts w:ascii="Arial" w:hAnsi="Arial" w:cs="Arial"/>
                <w:sz w:val="20"/>
                <w:szCs w:val="20"/>
              </w:rPr>
              <w:t xml:space="preserve"> </w:t>
            </w:r>
          </w:p>
          <w:p w14:paraId="473ADD24" w14:textId="53171C02" w:rsidR="00B32630" w:rsidRPr="00E51B78" w:rsidRDefault="00B32630" w:rsidP="009734A0">
            <w:pPr>
              <w:pStyle w:val="ListParagraph"/>
              <w:numPr>
                <w:ilvl w:val="1"/>
                <w:numId w:val="6"/>
              </w:numPr>
              <w:spacing w:before="76"/>
              <w:ind w:right="53"/>
              <w:rPr>
                <w:rFonts w:ascii="Arial" w:hAnsi="Arial" w:cs="Arial"/>
                <w:sz w:val="20"/>
                <w:szCs w:val="20"/>
              </w:rPr>
            </w:pPr>
            <w:r w:rsidRPr="00E51B78">
              <w:rPr>
                <w:rFonts w:ascii="Arial" w:hAnsi="Arial" w:cs="Arial"/>
                <w:sz w:val="20"/>
                <w:szCs w:val="20"/>
              </w:rPr>
              <w:t>Operationalizing a GPO-only inventory may involve:</w:t>
            </w:r>
          </w:p>
          <w:p w14:paraId="1577DE2B" w14:textId="19DC1F3C" w:rsidR="00B32630" w:rsidRPr="00E51B78" w:rsidRDefault="00E02D28" w:rsidP="00B32630">
            <w:pPr>
              <w:pStyle w:val="ListParagraph"/>
              <w:numPr>
                <w:ilvl w:val="2"/>
                <w:numId w:val="6"/>
              </w:numPr>
              <w:spacing w:before="76"/>
              <w:ind w:right="53"/>
              <w:rPr>
                <w:rFonts w:ascii="Arial" w:hAnsi="Arial" w:cs="Arial"/>
                <w:sz w:val="20"/>
                <w:szCs w:val="20"/>
              </w:rPr>
            </w:pPr>
            <w:r w:rsidRPr="00E51B78">
              <w:rPr>
                <w:rFonts w:ascii="Arial" w:hAnsi="Arial" w:cs="Arial"/>
                <w:sz w:val="20"/>
                <w:szCs w:val="20"/>
              </w:rPr>
              <w:t>Ordering on a GPO account that is separate from the split</w:t>
            </w:r>
            <w:r w:rsidR="003F398E" w:rsidRPr="00E51B78">
              <w:rPr>
                <w:rFonts w:ascii="Arial" w:hAnsi="Arial" w:cs="Arial"/>
                <w:sz w:val="20"/>
                <w:szCs w:val="20"/>
              </w:rPr>
              <w:t>-</w:t>
            </w:r>
            <w:r w:rsidRPr="00E51B78">
              <w:rPr>
                <w:rFonts w:ascii="Arial" w:hAnsi="Arial" w:cs="Arial"/>
                <w:sz w:val="20"/>
                <w:szCs w:val="20"/>
              </w:rPr>
              <w:t>billing software system and block</w:t>
            </w:r>
            <w:r w:rsidR="007C0D89" w:rsidRPr="00E51B78">
              <w:rPr>
                <w:rFonts w:ascii="Arial" w:hAnsi="Arial" w:cs="Arial"/>
                <w:sz w:val="20"/>
                <w:szCs w:val="20"/>
              </w:rPr>
              <w:t>ing</w:t>
            </w:r>
            <w:r w:rsidRPr="00E51B78">
              <w:rPr>
                <w:rFonts w:ascii="Arial" w:hAnsi="Arial" w:cs="Arial"/>
                <w:sz w:val="20"/>
                <w:szCs w:val="20"/>
              </w:rPr>
              <w:t xml:space="preserve"> administrations from the GPO-only areas from </w:t>
            </w:r>
            <w:r w:rsidR="00231047" w:rsidRPr="00E51B78">
              <w:rPr>
                <w:rFonts w:ascii="Arial" w:hAnsi="Arial" w:cs="Arial"/>
                <w:sz w:val="20"/>
                <w:szCs w:val="20"/>
              </w:rPr>
              <w:t xml:space="preserve">feeding into the accumulations within the system, or </w:t>
            </w:r>
          </w:p>
          <w:p w14:paraId="0CD9A308" w14:textId="0DEB3E03" w:rsidR="00966684" w:rsidRPr="00E51B78" w:rsidRDefault="00231047" w:rsidP="002B3A5C">
            <w:pPr>
              <w:pStyle w:val="ListParagraph"/>
              <w:numPr>
                <w:ilvl w:val="2"/>
                <w:numId w:val="6"/>
              </w:numPr>
              <w:spacing w:before="76"/>
              <w:ind w:right="53"/>
              <w:rPr>
                <w:rFonts w:ascii="Arial" w:hAnsi="Arial" w:cs="Arial"/>
                <w:sz w:val="20"/>
                <w:szCs w:val="20"/>
              </w:rPr>
            </w:pPr>
            <w:r w:rsidRPr="00E51B78">
              <w:rPr>
                <w:rFonts w:ascii="Arial" w:hAnsi="Arial" w:cs="Arial"/>
                <w:sz w:val="20"/>
                <w:szCs w:val="20"/>
              </w:rPr>
              <w:t>Adding the inpatient</w:t>
            </w:r>
            <w:r w:rsidR="003F398E" w:rsidRPr="00E51B78">
              <w:rPr>
                <w:rFonts w:ascii="Arial" w:hAnsi="Arial" w:cs="Arial"/>
                <w:sz w:val="20"/>
                <w:szCs w:val="20"/>
              </w:rPr>
              <w:t>-</w:t>
            </w:r>
            <w:r w:rsidRPr="00E51B78">
              <w:rPr>
                <w:rFonts w:ascii="Arial" w:hAnsi="Arial" w:cs="Arial"/>
                <w:sz w:val="20"/>
                <w:szCs w:val="20"/>
              </w:rPr>
              <w:t>use</w:t>
            </w:r>
            <w:r w:rsidR="003F398E" w:rsidRPr="00E51B78">
              <w:rPr>
                <w:rFonts w:ascii="Arial" w:hAnsi="Arial" w:cs="Arial"/>
                <w:sz w:val="20"/>
                <w:szCs w:val="20"/>
              </w:rPr>
              <w:t>-</w:t>
            </w:r>
            <w:r w:rsidRPr="00E51B78">
              <w:rPr>
                <w:rFonts w:ascii="Arial" w:hAnsi="Arial" w:cs="Arial"/>
                <w:sz w:val="20"/>
                <w:szCs w:val="20"/>
              </w:rPr>
              <w:t xml:space="preserve">only products to the </w:t>
            </w:r>
            <w:r w:rsidR="00686997" w:rsidRPr="00E51B78">
              <w:rPr>
                <w:rFonts w:ascii="Arial" w:hAnsi="Arial" w:cs="Arial"/>
                <w:sz w:val="20"/>
                <w:szCs w:val="20"/>
              </w:rPr>
              <w:t xml:space="preserve">GPO </w:t>
            </w:r>
            <w:r w:rsidR="003F398E" w:rsidRPr="00E51B78">
              <w:rPr>
                <w:rFonts w:ascii="Arial" w:hAnsi="Arial" w:cs="Arial"/>
                <w:sz w:val="20"/>
                <w:szCs w:val="20"/>
              </w:rPr>
              <w:t>P</w:t>
            </w:r>
            <w:r w:rsidR="00686997" w:rsidRPr="00E51B78">
              <w:rPr>
                <w:rFonts w:ascii="Arial" w:hAnsi="Arial" w:cs="Arial"/>
                <w:sz w:val="20"/>
                <w:szCs w:val="20"/>
              </w:rPr>
              <w:t>rohibition exempt</w:t>
            </w:r>
            <w:r w:rsidR="007C0D89" w:rsidRPr="00E51B78">
              <w:rPr>
                <w:rFonts w:ascii="Arial" w:hAnsi="Arial" w:cs="Arial"/>
                <w:sz w:val="20"/>
                <w:szCs w:val="20"/>
              </w:rPr>
              <w:t>ion</w:t>
            </w:r>
            <w:r w:rsidR="00686997" w:rsidRPr="00E51B78">
              <w:rPr>
                <w:rFonts w:ascii="Arial" w:hAnsi="Arial" w:cs="Arial"/>
                <w:sz w:val="20"/>
                <w:szCs w:val="20"/>
              </w:rPr>
              <w:t xml:space="preserve"> list within your split</w:t>
            </w:r>
            <w:r w:rsidR="003F398E" w:rsidRPr="00E51B78">
              <w:rPr>
                <w:rFonts w:ascii="Arial" w:hAnsi="Arial" w:cs="Arial"/>
                <w:sz w:val="20"/>
                <w:szCs w:val="20"/>
              </w:rPr>
              <w:t>-</w:t>
            </w:r>
            <w:r w:rsidR="00686997" w:rsidRPr="00E51B78">
              <w:rPr>
                <w:rFonts w:ascii="Arial" w:hAnsi="Arial" w:cs="Arial"/>
                <w:sz w:val="20"/>
                <w:szCs w:val="20"/>
              </w:rPr>
              <w:t xml:space="preserve">billing software, which will cause the products to be replenished </w:t>
            </w:r>
            <w:r w:rsidR="003F398E" w:rsidRPr="00E51B78">
              <w:rPr>
                <w:rFonts w:ascii="Arial" w:hAnsi="Arial" w:cs="Arial"/>
                <w:sz w:val="20"/>
                <w:szCs w:val="20"/>
              </w:rPr>
              <w:t xml:space="preserve">exclusively </w:t>
            </w:r>
            <w:r w:rsidR="00686997" w:rsidRPr="00E51B78">
              <w:rPr>
                <w:rFonts w:ascii="Arial" w:hAnsi="Arial" w:cs="Arial"/>
                <w:sz w:val="20"/>
                <w:szCs w:val="20"/>
              </w:rPr>
              <w:t xml:space="preserve">on </w:t>
            </w:r>
            <w:r w:rsidR="007C0D89" w:rsidRPr="00E51B78">
              <w:rPr>
                <w:rFonts w:ascii="Arial" w:hAnsi="Arial" w:cs="Arial"/>
                <w:sz w:val="20"/>
                <w:szCs w:val="20"/>
              </w:rPr>
              <w:t xml:space="preserve">the </w:t>
            </w:r>
            <w:r w:rsidR="00686997" w:rsidRPr="00E51B78">
              <w:rPr>
                <w:rFonts w:ascii="Arial" w:hAnsi="Arial" w:cs="Arial"/>
                <w:sz w:val="20"/>
                <w:szCs w:val="20"/>
              </w:rPr>
              <w:t>GPO</w:t>
            </w:r>
            <w:r w:rsidR="007C0D89" w:rsidRPr="00E51B78">
              <w:rPr>
                <w:rFonts w:ascii="Arial" w:hAnsi="Arial" w:cs="Arial"/>
                <w:sz w:val="20"/>
                <w:szCs w:val="20"/>
              </w:rPr>
              <w:t xml:space="preserve"> account.</w:t>
            </w:r>
            <w:r w:rsidR="00686997" w:rsidRPr="00E51B78">
              <w:rPr>
                <w:rFonts w:ascii="Arial" w:hAnsi="Arial" w:cs="Arial"/>
                <w:sz w:val="20"/>
                <w:szCs w:val="20"/>
              </w:rPr>
              <w:t xml:space="preserve"> </w:t>
            </w:r>
          </w:p>
        </w:tc>
      </w:tr>
      <w:tr w:rsidR="00DA74CB" w:rsidRPr="008017B8" w14:paraId="48DE7A2A" w14:textId="77777777" w:rsidTr="00E51B78">
        <w:tc>
          <w:tcPr>
            <w:tcW w:w="153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AE3087" w14:textId="45955385" w:rsidR="00DA74CB" w:rsidRPr="00E51B78" w:rsidRDefault="00DA74CB" w:rsidP="00E51B78">
            <w:pPr>
              <w:spacing w:before="120"/>
              <w:rPr>
                <w:rFonts w:ascii="Arial" w:hAnsi="Arial" w:cs="Arial"/>
                <w:sz w:val="20"/>
                <w:szCs w:val="20"/>
              </w:rPr>
            </w:pPr>
            <w:r w:rsidRPr="00E51B78">
              <w:rPr>
                <w:rFonts w:ascii="Arial" w:hAnsi="Arial" w:cs="Arial"/>
                <w:sz w:val="20"/>
                <w:szCs w:val="20"/>
              </w:rPr>
              <w:lastRenderedPageBreak/>
              <w:t xml:space="preserve">4c: Evaluate ability to use GPO for </w:t>
            </w:r>
            <w:r w:rsidR="00871396" w:rsidRPr="00E51B78">
              <w:rPr>
                <w:rFonts w:ascii="Arial" w:hAnsi="Arial" w:cs="Arial"/>
                <w:sz w:val="20"/>
                <w:szCs w:val="20"/>
              </w:rPr>
              <w:t xml:space="preserve">purchasing </w:t>
            </w:r>
            <w:r w:rsidR="003F398E" w:rsidRPr="00E51B78">
              <w:rPr>
                <w:rFonts w:ascii="Arial" w:hAnsi="Arial" w:cs="Arial"/>
                <w:sz w:val="20"/>
                <w:szCs w:val="20"/>
              </w:rPr>
              <w:t>COD</w:t>
            </w:r>
            <w:r w:rsidR="00871396" w:rsidRPr="00E51B78">
              <w:rPr>
                <w:rFonts w:ascii="Arial" w:hAnsi="Arial" w:cs="Arial"/>
                <w:sz w:val="20"/>
                <w:szCs w:val="20"/>
              </w:rPr>
              <w:t>s</w:t>
            </w:r>
          </w:p>
        </w:tc>
        <w:tc>
          <w:tcPr>
            <w:tcW w:w="909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6A0A525" w14:textId="7D66AA57" w:rsidR="00871396" w:rsidRPr="00E51B78" w:rsidRDefault="00871396" w:rsidP="00E51B78">
            <w:pPr>
              <w:pStyle w:val="ListParagraph"/>
              <w:numPr>
                <w:ilvl w:val="0"/>
                <w:numId w:val="6"/>
              </w:numPr>
              <w:shd w:val="clear" w:color="auto" w:fill="FFFFFF" w:themeFill="background1"/>
              <w:spacing w:before="76"/>
              <w:ind w:right="53"/>
              <w:rPr>
                <w:rFonts w:ascii="Arial" w:hAnsi="Arial" w:cs="Arial"/>
                <w:sz w:val="20"/>
                <w:szCs w:val="20"/>
              </w:rPr>
            </w:pPr>
            <w:r w:rsidRPr="00E51B78">
              <w:rPr>
                <w:rFonts w:ascii="Arial" w:hAnsi="Arial" w:cs="Arial"/>
                <w:sz w:val="20"/>
                <w:szCs w:val="20"/>
              </w:rPr>
              <w:t xml:space="preserve">In certain cases, a GPO may </w:t>
            </w:r>
            <w:r w:rsidR="00A73C3B" w:rsidRPr="00E51B78">
              <w:rPr>
                <w:rFonts w:ascii="Arial" w:hAnsi="Arial" w:cs="Arial"/>
                <w:sz w:val="20"/>
                <w:szCs w:val="20"/>
              </w:rPr>
              <w:t xml:space="preserve">be </w:t>
            </w:r>
            <w:r w:rsidRPr="00E51B78">
              <w:rPr>
                <w:rFonts w:ascii="Arial" w:hAnsi="Arial" w:cs="Arial"/>
                <w:sz w:val="20"/>
                <w:szCs w:val="20"/>
              </w:rPr>
              <w:t xml:space="preserve">used to purchase covered outpatient drugs without violating the GPO </w:t>
            </w:r>
            <w:r w:rsidR="003F398E" w:rsidRPr="00E51B78">
              <w:rPr>
                <w:rFonts w:ascii="Arial" w:hAnsi="Arial" w:cs="Arial"/>
                <w:sz w:val="20"/>
                <w:szCs w:val="20"/>
              </w:rPr>
              <w:t>P</w:t>
            </w:r>
            <w:r w:rsidRPr="00E51B78">
              <w:rPr>
                <w:rFonts w:ascii="Arial" w:hAnsi="Arial" w:cs="Arial"/>
                <w:sz w:val="20"/>
                <w:szCs w:val="20"/>
              </w:rPr>
              <w:t>rohibition</w:t>
            </w:r>
            <w:r w:rsidR="002A3DCF" w:rsidRPr="00E51B78">
              <w:rPr>
                <w:rFonts w:ascii="Arial" w:hAnsi="Arial" w:cs="Arial"/>
                <w:sz w:val="20"/>
                <w:szCs w:val="20"/>
              </w:rPr>
              <w:t>.</w:t>
            </w:r>
          </w:p>
          <w:p w14:paraId="2DEA5796" w14:textId="23C04F14" w:rsidR="002A3DCF" w:rsidRPr="00E51B78" w:rsidRDefault="000A034F" w:rsidP="00E51B78">
            <w:pPr>
              <w:pStyle w:val="ListParagraph"/>
              <w:numPr>
                <w:ilvl w:val="0"/>
                <w:numId w:val="6"/>
              </w:numPr>
              <w:shd w:val="clear" w:color="auto" w:fill="FFFFFF" w:themeFill="background1"/>
              <w:spacing w:before="76"/>
              <w:ind w:right="53"/>
              <w:rPr>
                <w:rFonts w:ascii="Arial" w:hAnsi="Arial" w:cs="Arial"/>
                <w:sz w:val="20"/>
                <w:szCs w:val="20"/>
              </w:rPr>
            </w:pPr>
            <w:r w:rsidRPr="00E51B78">
              <w:rPr>
                <w:rFonts w:ascii="Arial" w:hAnsi="Arial" w:cs="Arial"/>
                <w:sz w:val="20"/>
                <w:szCs w:val="20"/>
              </w:rPr>
              <w:t xml:space="preserve">An offsite outpatient facility </w:t>
            </w:r>
            <w:r w:rsidR="00871396" w:rsidRPr="00E51B78">
              <w:rPr>
                <w:rFonts w:ascii="Arial" w:hAnsi="Arial" w:cs="Arial"/>
                <w:sz w:val="20"/>
                <w:szCs w:val="20"/>
              </w:rPr>
              <w:t xml:space="preserve">must meet </w:t>
            </w:r>
            <w:proofErr w:type="gramStart"/>
            <w:r w:rsidR="00871396" w:rsidRPr="00E51B78">
              <w:rPr>
                <w:rFonts w:ascii="Arial" w:hAnsi="Arial" w:cs="Arial"/>
                <w:sz w:val="20"/>
                <w:szCs w:val="20"/>
              </w:rPr>
              <w:t>all of</w:t>
            </w:r>
            <w:proofErr w:type="gramEnd"/>
            <w:r w:rsidR="00871396" w:rsidRPr="00E51B78">
              <w:rPr>
                <w:rFonts w:ascii="Arial" w:hAnsi="Arial" w:cs="Arial"/>
                <w:sz w:val="20"/>
                <w:szCs w:val="20"/>
              </w:rPr>
              <w:t xml:space="preserve"> the following criteria </w:t>
            </w:r>
            <w:r w:rsidR="003F398E" w:rsidRPr="00E51B78">
              <w:rPr>
                <w:rFonts w:ascii="Arial" w:hAnsi="Arial" w:cs="Arial"/>
                <w:sz w:val="20"/>
                <w:szCs w:val="20"/>
              </w:rPr>
              <w:t xml:space="preserve">to </w:t>
            </w:r>
            <w:r w:rsidR="00871396" w:rsidRPr="00E51B78">
              <w:rPr>
                <w:rFonts w:ascii="Arial" w:hAnsi="Arial" w:cs="Arial"/>
                <w:sz w:val="20"/>
                <w:szCs w:val="20"/>
              </w:rPr>
              <w:t xml:space="preserve">use a GPO for purchasing </w:t>
            </w:r>
            <w:r w:rsidR="00052886" w:rsidRPr="00E51B78">
              <w:rPr>
                <w:rFonts w:ascii="Arial" w:hAnsi="Arial" w:cs="Arial"/>
                <w:sz w:val="20"/>
                <w:szCs w:val="20"/>
              </w:rPr>
              <w:t>CODs</w:t>
            </w:r>
            <w:r w:rsidR="00871396" w:rsidRPr="00E51B78">
              <w:rPr>
                <w:rFonts w:ascii="Arial" w:hAnsi="Arial" w:cs="Arial"/>
                <w:sz w:val="20"/>
                <w:szCs w:val="20"/>
              </w:rPr>
              <w:t xml:space="preserve">: </w:t>
            </w:r>
          </w:p>
          <w:p w14:paraId="1FA3EE66" w14:textId="3D3D61C2" w:rsidR="002A3DCF" w:rsidRPr="00E51B78" w:rsidRDefault="002A3DCF" w:rsidP="00E51B78">
            <w:pPr>
              <w:pStyle w:val="ListParagraph"/>
              <w:numPr>
                <w:ilvl w:val="1"/>
                <w:numId w:val="6"/>
              </w:numPr>
              <w:shd w:val="clear" w:color="auto" w:fill="FFFFFF" w:themeFill="background1"/>
              <w:spacing w:before="76"/>
              <w:ind w:right="53"/>
              <w:rPr>
                <w:rFonts w:ascii="Arial" w:hAnsi="Arial" w:cs="Arial"/>
                <w:sz w:val="20"/>
                <w:szCs w:val="20"/>
              </w:rPr>
            </w:pPr>
            <w:r w:rsidRPr="00E51B78">
              <w:rPr>
                <w:rFonts w:ascii="Arial" w:hAnsi="Arial" w:cs="Arial"/>
                <w:sz w:val="20"/>
                <w:szCs w:val="20"/>
              </w:rPr>
              <w:t>B</w:t>
            </w:r>
            <w:r w:rsidR="00871396" w:rsidRPr="00E51B78">
              <w:rPr>
                <w:rFonts w:ascii="Arial" w:hAnsi="Arial" w:cs="Arial"/>
                <w:sz w:val="20"/>
                <w:szCs w:val="20"/>
              </w:rPr>
              <w:t xml:space="preserve">e located at a separate physical address </w:t>
            </w:r>
            <w:r w:rsidR="00CB6645" w:rsidRPr="00E51B78">
              <w:rPr>
                <w:rFonts w:ascii="Arial" w:hAnsi="Arial" w:cs="Arial"/>
                <w:sz w:val="20"/>
                <w:szCs w:val="20"/>
              </w:rPr>
              <w:t>from</w:t>
            </w:r>
            <w:r w:rsidR="00871396" w:rsidRPr="00E51B78">
              <w:rPr>
                <w:rFonts w:ascii="Arial" w:hAnsi="Arial" w:cs="Arial"/>
                <w:sz w:val="20"/>
                <w:szCs w:val="20"/>
              </w:rPr>
              <w:t xml:space="preserve"> the parent hospital </w:t>
            </w:r>
          </w:p>
          <w:p w14:paraId="69AF72FB" w14:textId="642ADAC3" w:rsidR="002A3DCF" w:rsidRPr="00E51B78" w:rsidRDefault="002A3DCF" w:rsidP="00E51B78">
            <w:pPr>
              <w:pStyle w:val="ListParagraph"/>
              <w:numPr>
                <w:ilvl w:val="1"/>
                <w:numId w:val="6"/>
              </w:numPr>
              <w:shd w:val="clear" w:color="auto" w:fill="FFFFFF" w:themeFill="background1"/>
              <w:spacing w:before="76"/>
              <w:ind w:right="53"/>
              <w:rPr>
                <w:rFonts w:ascii="Arial" w:hAnsi="Arial" w:cs="Arial"/>
                <w:sz w:val="20"/>
                <w:szCs w:val="20"/>
              </w:rPr>
            </w:pPr>
            <w:r w:rsidRPr="00E51B78">
              <w:rPr>
                <w:rFonts w:ascii="Arial" w:hAnsi="Arial" w:cs="Arial"/>
                <w:sz w:val="20"/>
                <w:szCs w:val="20"/>
              </w:rPr>
              <w:t>N</w:t>
            </w:r>
            <w:r w:rsidR="00871396" w:rsidRPr="00E51B78">
              <w:rPr>
                <w:rFonts w:ascii="Arial" w:hAnsi="Arial" w:cs="Arial"/>
                <w:sz w:val="20"/>
                <w:szCs w:val="20"/>
              </w:rPr>
              <w:t xml:space="preserve">ot be registered on 340B OPAIS </w:t>
            </w:r>
          </w:p>
          <w:p w14:paraId="698775F1" w14:textId="18665428" w:rsidR="002A3DCF" w:rsidRPr="00E51B78" w:rsidRDefault="002A3DCF" w:rsidP="00E51B78">
            <w:pPr>
              <w:pStyle w:val="ListParagraph"/>
              <w:numPr>
                <w:ilvl w:val="1"/>
                <w:numId w:val="6"/>
              </w:numPr>
              <w:shd w:val="clear" w:color="auto" w:fill="FFFFFF" w:themeFill="background1"/>
              <w:spacing w:before="76"/>
              <w:ind w:right="53"/>
              <w:rPr>
                <w:rFonts w:ascii="Arial" w:hAnsi="Arial" w:cs="Arial"/>
                <w:sz w:val="20"/>
                <w:szCs w:val="20"/>
              </w:rPr>
            </w:pPr>
            <w:r w:rsidRPr="00E51B78">
              <w:rPr>
                <w:rFonts w:ascii="Arial" w:hAnsi="Arial" w:cs="Arial"/>
                <w:sz w:val="20"/>
                <w:szCs w:val="20"/>
              </w:rPr>
              <w:t xml:space="preserve">Use </w:t>
            </w:r>
            <w:r w:rsidR="00871396" w:rsidRPr="00E51B78">
              <w:rPr>
                <w:rFonts w:ascii="Arial" w:hAnsi="Arial" w:cs="Arial"/>
                <w:sz w:val="20"/>
                <w:szCs w:val="20"/>
              </w:rPr>
              <w:t xml:space="preserve">a separate wholesaler account from that of the parent hospital </w:t>
            </w:r>
          </w:p>
          <w:p w14:paraId="380434B3" w14:textId="77777777" w:rsidR="003808AD" w:rsidRPr="00E51B78" w:rsidRDefault="002A3DCF" w:rsidP="00E51B78">
            <w:pPr>
              <w:pStyle w:val="ListParagraph"/>
              <w:numPr>
                <w:ilvl w:val="1"/>
                <w:numId w:val="6"/>
              </w:numPr>
              <w:shd w:val="clear" w:color="auto" w:fill="FFFFFF" w:themeFill="background1"/>
              <w:spacing w:before="76"/>
              <w:ind w:right="53"/>
              <w:rPr>
                <w:rFonts w:ascii="Arial" w:hAnsi="Arial" w:cs="Arial"/>
                <w:sz w:val="20"/>
                <w:szCs w:val="20"/>
              </w:rPr>
            </w:pPr>
            <w:r w:rsidRPr="00E51B78">
              <w:rPr>
                <w:rFonts w:ascii="Arial" w:hAnsi="Arial" w:cs="Arial"/>
                <w:sz w:val="20"/>
                <w:szCs w:val="20"/>
              </w:rPr>
              <w:t>M</w:t>
            </w:r>
            <w:r w:rsidR="00871396" w:rsidRPr="00E51B78">
              <w:rPr>
                <w:rFonts w:ascii="Arial" w:hAnsi="Arial" w:cs="Arial"/>
                <w:sz w:val="20"/>
                <w:szCs w:val="20"/>
              </w:rPr>
              <w:t xml:space="preserve">aintain records demonstrating that GPO drugs are not used or transferred to the parent hospital or any child sites that are registered on 340B OPAIS </w:t>
            </w:r>
          </w:p>
          <w:p w14:paraId="408852D5" w14:textId="5EB7CD35" w:rsidR="00DA74CB" w:rsidRPr="00E51B78" w:rsidRDefault="003808AD">
            <w:pPr>
              <w:pStyle w:val="ListParagraph"/>
              <w:numPr>
                <w:ilvl w:val="0"/>
                <w:numId w:val="6"/>
              </w:numPr>
              <w:spacing w:before="76"/>
              <w:ind w:right="53"/>
              <w:rPr>
                <w:rFonts w:ascii="Arial" w:eastAsia="Arial" w:hAnsi="Arial" w:cs="Arial"/>
                <w:b/>
                <w:bCs/>
                <w:spacing w:val="1"/>
                <w:sz w:val="20"/>
                <w:szCs w:val="20"/>
              </w:rPr>
            </w:pPr>
            <w:r w:rsidRPr="00E51B78">
              <w:rPr>
                <w:rFonts w:ascii="Arial" w:hAnsi="Arial" w:cs="Arial"/>
                <w:sz w:val="20"/>
                <w:szCs w:val="20"/>
              </w:rPr>
              <w:t>R</w:t>
            </w:r>
            <w:r w:rsidR="00871396" w:rsidRPr="00E51B78">
              <w:rPr>
                <w:rFonts w:ascii="Arial" w:hAnsi="Arial" w:cs="Arial"/>
                <w:sz w:val="20"/>
                <w:szCs w:val="20"/>
              </w:rPr>
              <w:t xml:space="preserve">efer to HRSA’s 2013 Guidance: </w:t>
            </w:r>
            <w:hyperlink r:id="rId18" w:history="1">
              <w:r w:rsidR="00871396" w:rsidRPr="00E51B78">
                <w:rPr>
                  <w:rStyle w:val="Hyperlink"/>
                  <w:rFonts w:ascii="Arial" w:eastAsia="Arial" w:hAnsi="Arial" w:cs="Arial"/>
                  <w:sz w:val="20"/>
                  <w:szCs w:val="20"/>
                </w:rPr>
                <w:t>Statutory Prohibition on Group Purchasing Organizations Participation</w:t>
              </w:r>
            </w:hyperlink>
            <w:r w:rsidR="00871396" w:rsidRPr="00E51B78">
              <w:t xml:space="preserve"> </w:t>
            </w:r>
            <w:r w:rsidR="00871396" w:rsidRPr="00E51B78">
              <w:rPr>
                <w:rFonts w:ascii="Arial" w:hAnsi="Arial" w:cs="Arial"/>
                <w:sz w:val="20"/>
                <w:szCs w:val="20"/>
              </w:rPr>
              <w:t>for additional information</w:t>
            </w:r>
            <w:r w:rsidRPr="00AC5EC9">
              <w:rPr>
                <w:rFonts w:ascii="Arial" w:hAnsi="Arial" w:cs="Arial"/>
                <w:sz w:val="20"/>
                <w:szCs w:val="20"/>
              </w:rPr>
              <w:t>.</w:t>
            </w:r>
            <w:r w:rsidR="00B14D25" w:rsidRPr="00E51B78">
              <w:rPr>
                <w:rFonts w:ascii="Arial" w:eastAsia="Arial" w:hAnsi="Arial" w:cs="Arial"/>
                <w:color w:val="2B579A"/>
                <w:sz w:val="20"/>
                <w:szCs w:val="20"/>
                <w:shd w:val="clear" w:color="auto" w:fill="E6E6E6"/>
              </w:rPr>
              <w:br/>
            </w:r>
          </w:p>
        </w:tc>
      </w:tr>
    </w:tbl>
    <w:p w14:paraId="42742958" w14:textId="77777777" w:rsidR="00C157AB" w:rsidRDefault="00C157AB" w:rsidP="00C157AB">
      <w:pPr>
        <w:tabs>
          <w:tab w:val="left" w:pos="2385"/>
        </w:tabs>
        <w:rPr>
          <w:rFonts w:ascii="Arial" w:hAnsi="Arial" w:cs="Arial"/>
        </w:rPr>
      </w:pPr>
    </w:p>
    <w:p w14:paraId="7D62F0C1" w14:textId="77777777" w:rsidR="00C157AB" w:rsidRDefault="00C157AB" w:rsidP="00C157AB">
      <w:pPr>
        <w:tabs>
          <w:tab w:val="left" w:pos="2385"/>
        </w:tabs>
        <w:rPr>
          <w:rFonts w:ascii="Arial" w:hAnsi="Arial" w:cs="Arial"/>
        </w:rPr>
      </w:pPr>
    </w:p>
    <w:p w14:paraId="5D3CB582" w14:textId="35F1265C" w:rsidR="002B3A5C" w:rsidRDefault="002B3A5C" w:rsidP="00130994">
      <w:pPr>
        <w:spacing w:before="81"/>
        <w:ind w:right="117"/>
        <w:jc w:val="both"/>
        <w:rPr>
          <w:rFonts w:ascii="Arial Narrow" w:hAnsi="Arial Narrow"/>
          <w:i/>
          <w:sz w:val="14"/>
        </w:rPr>
      </w:pPr>
    </w:p>
    <w:p w14:paraId="7F596651" w14:textId="518EF13D" w:rsidR="00AC5EC9" w:rsidRDefault="00AC5EC9" w:rsidP="00130994">
      <w:pPr>
        <w:spacing w:before="81"/>
        <w:ind w:right="117"/>
        <w:jc w:val="both"/>
        <w:rPr>
          <w:rFonts w:ascii="Arial Narrow" w:hAnsi="Arial Narrow"/>
          <w:i/>
          <w:sz w:val="14"/>
        </w:rPr>
      </w:pPr>
    </w:p>
    <w:p w14:paraId="73C98620" w14:textId="44C8EF50" w:rsidR="00AC5EC9" w:rsidRDefault="00AC5EC9" w:rsidP="00130994">
      <w:pPr>
        <w:spacing w:before="81"/>
        <w:ind w:right="117"/>
        <w:jc w:val="both"/>
        <w:rPr>
          <w:rFonts w:ascii="Arial Narrow" w:hAnsi="Arial Narrow"/>
          <w:i/>
          <w:sz w:val="14"/>
        </w:rPr>
      </w:pPr>
    </w:p>
    <w:p w14:paraId="6B9196B8" w14:textId="1F943AC5" w:rsidR="00AC5EC9" w:rsidRDefault="00AC5EC9" w:rsidP="00130994">
      <w:pPr>
        <w:spacing w:before="81"/>
        <w:ind w:right="117"/>
        <w:jc w:val="both"/>
        <w:rPr>
          <w:rFonts w:ascii="Arial Narrow" w:hAnsi="Arial Narrow"/>
          <w:i/>
          <w:sz w:val="14"/>
        </w:rPr>
      </w:pPr>
    </w:p>
    <w:p w14:paraId="149F529D" w14:textId="6EE80CEE" w:rsidR="00AC5EC9" w:rsidRDefault="00AC5EC9" w:rsidP="00130994">
      <w:pPr>
        <w:spacing w:before="81"/>
        <w:ind w:right="117"/>
        <w:jc w:val="both"/>
        <w:rPr>
          <w:rFonts w:ascii="Arial Narrow" w:hAnsi="Arial Narrow"/>
          <w:i/>
          <w:sz w:val="14"/>
        </w:rPr>
      </w:pPr>
    </w:p>
    <w:p w14:paraId="57450ADC" w14:textId="5F4DA961" w:rsidR="00AC5EC9" w:rsidRDefault="00AC5EC9" w:rsidP="00130994">
      <w:pPr>
        <w:spacing w:before="81"/>
        <w:ind w:right="117"/>
        <w:jc w:val="both"/>
        <w:rPr>
          <w:rFonts w:ascii="Arial Narrow" w:hAnsi="Arial Narrow"/>
          <w:i/>
          <w:sz w:val="14"/>
        </w:rPr>
      </w:pPr>
    </w:p>
    <w:p w14:paraId="3881D29B" w14:textId="77777777" w:rsidR="00AC5EC9" w:rsidRDefault="00AC5EC9" w:rsidP="00130994">
      <w:pPr>
        <w:spacing w:before="81"/>
        <w:ind w:right="117"/>
        <w:jc w:val="both"/>
        <w:rPr>
          <w:rFonts w:ascii="Arial Narrow" w:hAnsi="Arial Narrow"/>
          <w:i/>
          <w:sz w:val="14"/>
        </w:rPr>
      </w:pPr>
    </w:p>
    <w:p w14:paraId="0F8BCD5D" w14:textId="77777777" w:rsidR="00AE088D" w:rsidRDefault="00AE088D" w:rsidP="00130994">
      <w:pPr>
        <w:spacing w:before="81"/>
        <w:ind w:right="117"/>
        <w:jc w:val="both"/>
        <w:rPr>
          <w:rFonts w:ascii="Arial Narrow" w:hAnsi="Arial Narrow"/>
          <w:i/>
          <w:sz w:val="14"/>
        </w:rPr>
      </w:pPr>
    </w:p>
    <w:p w14:paraId="468D427C" w14:textId="77777777" w:rsidR="003D463A" w:rsidRDefault="003D463A" w:rsidP="00130994">
      <w:pPr>
        <w:spacing w:before="81"/>
        <w:ind w:right="117"/>
        <w:jc w:val="both"/>
        <w:rPr>
          <w:rFonts w:ascii="Arial Narrow" w:hAnsi="Arial Narrow"/>
          <w:i/>
          <w:sz w:val="14"/>
        </w:rPr>
      </w:pPr>
    </w:p>
    <w:p w14:paraId="08C2A52C" w14:textId="1D32F27C" w:rsidR="00130994" w:rsidRPr="00130994" w:rsidRDefault="00130994" w:rsidP="00130994">
      <w:pPr>
        <w:spacing w:before="81"/>
        <w:ind w:right="117"/>
        <w:jc w:val="both"/>
        <w:rPr>
          <w:rFonts w:ascii="Arial Narrow" w:eastAsia="Arial" w:hAnsi="Arial Narrow" w:cs="Arial"/>
          <w:sz w:val="14"/>
          <w:szCs w:val="14"/>
        </w:rPr>
      </w:pPr>
      <w:r w:rsidRPr="00DB6CB1">
        <w:rPr>
          <w:rFonts w:ascii="Arial Narrow" w:hAnsi="Arial Narrow"/>
          <w:i/>
          <w:sz w:val="14"/>
        </w:rPr>
        <w:t xml:space="preserve">This tool is written to align with Health Resources and Services Administration (HRSA) </w:t>
      </w:r>
      <w:proofErr w:type="gramStart"/>
      <w:r w:rsidRPr="00DB6CB1">
        <w:rPr>
          <w:rFonts w:ascii="Arial Narrow" w:hAnsi="Arial Narrow"/>
          <w:i/>
          <w:sz w:val="14"/>
        </w:rPr>
        <w:t>policy, and</w:t>
      </w:r>
      <w:proofErr w:type="gramEnd"/>
      <w:r w:rsidRPr="00DB6CB1">
        <w:rPr>
          <w:rFonts w:ascii="Arial Narrow" w:hAnsi="Arial Narrow"/>
          <w:i/>
          <w:sz w:val="14"/>
        </w:rPr>
        <w:t xml:space="preserve"> is provided only as an example for the purpose of encouraging </w:t>
      </w:r>
      <w:r>
        <w:rPr>
          <w:rFonts w:ascii="Arial Narrow" w:hAnsi="Arial Narrow"/>
          <w:i/>
          <w:sz w:val="14"/>
        </w:rPr>
        <w:t>340B Program</w:t>
      </w:r>
      <w:r w:rsidRPr="00DB6CB1">
        <w:rPr>
          <w:rFonts w:ascii="Arial Narrow" w:hAnsi="Arial Narrow"/>
          <w:i/>
          <w:sz w:val="14"/>
        </w:rPr>
        <w:t xml:space="preserve"> integrity. This information has not been endorsed by HRSA and is not dispositive in determining compliance with or participatory status in the 340B Drug Pricing Program. 340B stakeholders are ultimately responsible for </w:t>
      </w:r>
      <w:r>
        <w:rPr>
          <w:rFonts w:ascii="Arial Narrow" w:hAnsi="Arial Narrow"/>
          <w:i/>
          <w:sz w:val="14"/>
        </w:rPr>
        <w:t>340B Program</w:t>
      </w:r>
      <w:r w:rsidRPr="00DB6CB1">
        <w:rPr>
          <w:rFonts w:ascii="Arial Narrow" w:hAnsi="Arial Narrow"/>
          <w:i/>
          <w:sz w:val="14"/>
        </w:rPr>
        <w:t xml:space="preserve"> compliance and compliance with all other applicable laws and regulations. Apexus encourages each stakeholder</w:t>
      </w:r>
      <w:r w:rsidRPr="00DB6CB1">
        <w:rPr>
          <w:rFonts w:ascii="Arial Narrow" w:hAnsi="Arial Narrow"/>
          <w:i/>
          <w:spacing w:val="-5"/>
          <w:sz w:val="14"/>
        </w:rPr>
        <w:t xml:space="preserve"> </w:t>
      </w:r>
      <w:r w:rsidRPr="00DB6CB1">
        <w:rPr>
          <w:rFonts w:ascii="Arial Narrow" w:hAnsi="Arial Narrow"/>
          <w:i/>
          <w:sz w:val="14"/>
        </w:rPr>
        <w:t>to</w:t>
      </w:r>
      <w:r w:rsidRPr="00DB6CB1">
        <w:rPr>
          <w:rFonts w:ascii="Arial Narrow" w:hAnsi="Arial Narrow"/>
          <w:i/>
          <w:spacing w:val="-3"/>
          <w:sz w:val="14"/>
        </w:rPr>
        <w:t xml:space="preserve"> </w:t>
      </w:r>
      <w:r w:rsidRPr="00DB6CB1">
        <w:rPr>
          <w:rFonts w:ascii="Arial Narrow" w:hAnsi="Arial Narrow"/>
          <w:i/>
          <w:sz w:val="14"/>
        </w:rPr>
        <w:t>include</w:t>
      </w:r>
      <w:r w:rsidRPr="00DB6CB1">
        <w:rPr>
          <w:rFonts w:ascii="Arial Narrow" w:hAnsi="Arial Narrow"/>
          <w:i/>
          <w:spacing w:val="-5"/>
          <w:sz w:val="14"/>
        </w:rPr>
        <w:t xml:space="preserve"> </w:t>
      </w:r>
      <w:r w:rsidRPr="00DB6CB1">
        <w:rPr>
          <w:rFonts w:ascii="Arial Narrow" w:hAnsi="Arial Narrow"/>
          <w:i/>
          <w:sz w:val="14"/>
        </w:rPr>
        <w:t>legal</w:t>
      </w:r>
      <w:r w:rsidRPr="00DB6CB1">
        <w:rPr>
          <w:rFonts w:ascii="Arial Narrow" w:hAnsi="Arial Narrow"/>
          <w:i/>
          <w:spacing w:val="-4"/>
          <w:sz w:val="14"/>
        </w:rPr>
        <w:t xml:space="preserve"> </w:t>
      </w:r>
      <w:r w:rsidRPr="00DB6CB1">
        <w:rPr>
          <w:rFonts w:ascii="Arial Narrow" w:hAnsi="Arial Narrow"/>
          <w:i/>
          <w:sz w:val="14"/>
        </w:rPr>
        <w:t>counsel</w:t>
      </w:r>
      <w:r w:rsidRPr="00DB6CB1">
        <w:rPr>
          <w:rFonts w:ascii="Arial Narrow" w:hAnsi="Arial Narrow"/>
          <w:i/>
          <w:spacing w:val="-2"/>
          <w:sz w:val="14"/>
        </w:rPr>
        <w:t xml:space="preserve"> </w:t>
      </w:r>
      <w:r w:rsidRPr="00DB6CB1">
        <w:rPr>
          <w:rFonts w:ascii="Arial Narrow" w:hAnsi="Arial Narrow"/>
          <w:i/>
          <w:sz w:val="14"/>
        </w:rPr>
        <w:t>as</w:t>
      </w:r>
      <w:r w:rsidRPr="00DB6CB1">
        <w:rPr>
          <w:rFonts w:ascii="Arial Narrow" w:hAnsi="Arial Narrow"/>
          <w:i/>
          <w:spacing w:val="-3"/>
          <w:sz w:val="14"/>
        </w:rPr>
        <w:t xml:space="preserve"> </w:t>
      </w:r>
      <w:r w:rsidRPr="00DB6CB1">
        <w:rPr>
          <w:rFonts w:ascii="Arial Narrow" w:hAnsi="Arial Narrow"/>
          <w:i/>
          <w:sz w:val="14"/>
        </w:rPr>
        <w:t>part</w:t>
      </w:r>
      <w:r w:rsidRPr="00DB6CB1">
        <w:rPr>
          <w:rFonts w:ascii="Arial Narrow" w:hAnsi="Arial Narrow"/>
          <w:i/>
          <w:spacing w:val="-4"/>
          <w:sz w:val="14"/>
        </w:rPr>
        <w:t xml:space="preserve"> </w:t>
      </w:r>
      <w:r w:rsidRPr="00DB6CB1">
        <w:rPr>
          <w:rFonts w:ascii="Arial Narrow" w:hAnsi="Arial Narrow"/>
          <w:i/>
          <w:sz w:val="14"/>
        </w:rPr>
        <w:t>of</w:t>
      </w:r>
      <w:r w:rsidRPr="00DB6CB1">
        <w:rPr>
          <w:rFonts w:ascii="Arial Narrow" w:hAnsi="Arial Narrow"/>
          <w:i/>
          <w:spacing w:val="-3"/>
          <w:sz w:val="14"/>
        </w:rPr>
        <w:t xml:space="preserve"> </w:t>
      </w:r>
      <w:r w:rsidRPr="00DB6CB1">
        <w:rPr>
          <w:rFonts w:ascii="Arial Narrow" w:hAnsi="Arial Narrow"/>
          <w:i/>
          <w:sz w:val="14"/>
        </w:rPr>
        <w:t>its</w:t>
      </w:r>
      <w:r w:rsidRPr="00DB6CB1">
        <w:rPr>
          <w:rFonts w:ascii="Arial Narrow" w:hAnsi="Arial Narrow"/>
          <w:i/>
          <w:spacing w:val="-3"/>
          <w:sz w:val="14"/>
        </w:rPr>
        <w:t xml:space="preserve"> </w:t>
      </w:r>
      <w:r w:rsidRPr="00DB6CB1">
        <w:rPr>
          <w:rFonts w:ascii="Arial Narrow" w:hAnsi="Arial Narrow"/>
          <w:i/>
          <w:sz w:val="14"/>
        </w:rPr>
        <w:t>program</w:t>
      </w:r>
      <w:r w:rsidRPr="00DB6CB1">
        <w:rPr>
          <w:rFonts w:ascii="Arial Narrow" w:hAnsi="Arial Narrow"/>
          <w:i/>
          <w:spacing w:val="-5"/>
          <w:sz w:val="14"/>
        </w:rPr>
        <w:t xml:space="preserve"> </w:t>
      </w:r>
      <w:r w:rsidRPr="00DB6CB1">
        <w:rPr>
          <w:rFonts w:ascii="Arial Narrow" w:hAnsi="Arial Narrow"/>
          <w:i/>
          <w:sz w:val="14"/>
        </w:rPr>
        <w:t>integrity</w:t>
      </w:r>
      <w:r w:rsidRPr="00DB6CB1">
        <w:rPr>
          <w:rFonts w:ascii="Arial Narrow" w:hAnsi="Arial Narrow"/>
          <w:i/>
          <w:spacing w:val="-4"/>
          <w:sz w:val="14"/>
        </w:rPr>
        <w:t xml:space="preserve"> </w:t>
      </w:r>
      <w:r w:rsidRPr="00DB6CB1">
        <w:rPr>
          <w:rFonts w:ascii="Arial Narrow" w:hAnsi="Arial Narrow"/>
          <w:i/>
          <w:sz w:val="14"/>
        </w:rPr>
        <w:t>efforts.</w:t>
      </w:r>
    </w:p>
    <w:p w14:paraId="43DF5B7A" w14:textId="17989ABD" w:rsidR="001B423A" w:rsidRPr="00E51B78" w:rsidRDefault="00130994" w:rsidP="00AC5EC9">
      <w:pPr>
        <w:jc w:val="both"/>
        <w:rPr>
          <w:rFonts w:ascii="Arial Narrow" w:hAnsi="Arial Narrow"/>
          <w:sz w:val="14"/>
        </w:rPr>
      </w:pPr>
      <w:r w:rsidRPr="00DB6CB1">
        <w:rPr>
          <w:rFonts w:ascii="Arial Narrow" w:hAnsi="Arial Narrow"/>
          <w:i/>
          <w:sz w:val="14"/>
        </w:rPr>
        <w:t>© 20</w:t>
      </w:r>
      <w:r w:rsidR="00C157AB">
        <w:rPr>
          <w:rFonts w:ascii="Arial Narrow" w:hAnsi="Arial Narrow"/>
          <w:i/>
          <w:sz w:val="14"/>
        </w:rPr>
        <w:t>2</w:t>
      </w:r>
      <w:r w:rsidR="00AC5EC9">
        <w:rPr>
          <w:rFonts w:ascii="Arial Narrow" w:hAnsi="Arial Narrow"/>
          <w:i/>
          <w:sz w:val="14"/>
        </w:rPr>
        <w:t>3</w:t>
      </w:r>
      <w:r w:rsidRPr="00DB6CB1">
        <w:rPr>
          <w:rFonts w:ascii="Arial Narrow" w:hAnsi="Arial Narrow"/>
          <w:i/>
          <w:sz w:val="14"/>
        </w:rPr>
        <w:t xml:space="preserve"> Apexus. Permission is granted to use, copy, and distribute this work solely for 340B covered entities and Me</w:t>
      </w:r>
      <w:r w:rsidRPr="00DB6CB1">
        <w:rPr>
          <w:rFonts w:ascii="Arial Narrow" w:hAnsi="Arial Narrow"/>
          <w:i/>
          <w:color w:val="303030"/>
          <w:sz w:val="14"/>
        </w:rPr>
        <w:t>dicaid</w:t>
      </w:r>
      <w:r w:rsidRPr="00DB6CB1">
        <w:rPr>
          <w:rFonts w:ascii="Arial Narrow" w:hAnsi="Arial Narrow"/>
          <w:i/>
          <w:color w:val="303030"/>
          <w:spacing w:val="-12"/>
          <w:sz w:val="14"/>
        </w:rPr>
        <w:t xml:space="preserve"> </w:t>
      </w:r>
      <w:r w:rsidRPr="00DB6CB1">
        <w:rPr>
          <w:rFonts w:ascii="Arial Narrow" w:hAnsi="Arial Narrow"/>
          <w:i/>
          <w:color w:val="303030"/>
          <w:sz w:val="14"/>
        </w:rPr>
        <w:t>Agencies.</w:t>
      </w:r>
    </w:p>
    <w:sectPr w:rsidR="001B423A" w:rsidRPr="00E51B78" w:rsidSect="00C157AB">
      <w:headerReference w:type="default" r:id="rId19"/>
      <w:pgSz w:w="12240" w:h="15840"/>
      <w:pgMar w:top="2347" w:right="720" w:bottom="1080" w:left="72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2862" w14:textId="77777777" w:rsidR="00591165" w:rsidRDefault="00591165" w:rsidP="00676B67">
      <w:pPr>
        <w:spacing w:after="0" w:line="240" w:lineRule="auto"/>
      </w:pPr>
      <w:r>
        <w:separator/>
      </w:r>
    </w:p>
  </w:endnote>
  <w:endnote w:type="continuationSeparator" w:id="0">
    <w:p w14:paraId="51252CD5" w14:textId="77777777" w:rsidR="00591165" w:rsidRDefault="00591165" w:rsidP="00676B67">
      <w:pPr>
        <w:spacing w:after="0" w:line="240" w:lineRule="auto"/>
      </w:pPr>
      <w:r>
        <w:continuationSeparator/>
      </w:r>
    </w:p>
  </w:endnote>
  <w:endnote w:type="continuationNotice" w:id="1">
    <w:p w14:paraId="1D9DF7DC" w14:textId="77777777" w:rsidR="00591165" w:rsidRDefault="00591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E985" w14:textId="58230680" w:rsidR="00130994" w:rsidRPr="00130994" w:rsidRDefault="00130994" w:rsidP="00130994">
    <w:pPr>
      <w:widowControl w:val="0"/>
      <w:spacing w:before="60" w:after="60" w:line="240" w:lineRule="auto"/>
      <w:jc w:val="right"/>
      <w:rPr>
        <w:rFonts w:ascii="Arial Narrow" w:eastAsia="Calibri" w:hAnsi="Arial Narrow" w:cs="Times New Roman"/>
        <w:color w:val="1F497D"/>
        <w:szCs w:val="20"/>
      </w:rPr>
    </w:pPr>
    <w:r w:rsidRPr="00130994">
      <w:rPr>
        <w:rFonts w:ascii="Arial Narrow" w:eastAsia="Calibri" w:hAnsi="Arial Narrow" w:cs="Times New Roman"/>
        <w:color w:val="1F497D"/>
        <w:szCs w:val="20"/>
      </w:rPr>
      <w:t>Page</w:t>
    </w:r>
    <w:r w:rsidRPr="00E51B78">
      <w:rPr>
        <w:rFonts w:ascii="Arial Narrow" w:eastAsia="Calibri" w:hAnsi="Arial Narrow" w:cs="Times New Roman"/>
        <w:color w:val="1F497D"/>
        <w:szCs w:val="20"/>
        <w:shd w:val="clear" w:color="auto" w:fill="FFFFFF" w:themeFill="background1"/>
      </w:rPr>
      <w:t xml:space="preserve"> </w:t>
    </w:r>
    <w:r w:rsidRPr="00E51B78">
      <w:rPr>
        <w:rFonts w:ascii="Arial Narrow" w:eastAsia="Calibri" w:hAnsi="Arial Narrow" w:cs="Times New Roman"/>
        <w:color w:val="1F497D"/>
        <w:szCs w:val="20"/>
        <w:shd w:val="clear" w:color="auto" w:fill="FFFFFF" w:themeFill="background1"/>
      </w:rPr>
      <w:fldChar w:fldCharType="begin"/>
    </w:r>
    <w:r w:rsidRPr="00E51B78">
      <w:rPr>
        <w:rFonts w:ascii="Arial Narrow" w:eastAsia="Calibri" w:hAnsi="Arial Narrow" w:cs="Times New Roman"/>
        <w:color w:val="1F497D"/>
        <w:szCs w:val="20"/>
        <w:shd w:val="clear" w:color="auto" w:fill="FFFFFF" w:themeFill="background1"/>
      </w:rPr>
      <w:instrText xml:space="preserve"> PAGE   \* MERGEFORMAT </w:instrText>
    </w:r>
    <w:r w:rsidRPr="00E51B78">
      <w:rPr>
        <w:rFonts w:ascii="Arial Narrow" w:eastAsia="Calibri" w:hAnsi="Arial Narrow" w:cs="Times New Roman"/>
        <w:color w:val="1F497D"/>
        <w:szCs w:val="20"/>
        <w:shd w:val="clear" w:color="auto" w:fill="FFFFFF" w:themeFill="background1"/>
      </w:rPr>
      <w:fldChar w:fldCharType="separate"/>
    </w:r>
    <w:r w:rsidR="009C7D28" w:rsidRPr="00E51B78">
      <w:rPr>
        <w:rFonts w:ascii="Arial Narrow" w:eastAsia="Calibri" w:hAnsi="Arial Narrow" w:cs="Times New Roman"/>
        <w:noProof/>
        <w:color w:val="1F497D"/>
        <w:szCs w:val="20"/>
        <w:shd w:val="clear" w:color="auto" w:fill="FFFFFF" w:themeFill="background1"/>
      </w:rPr>
      <w:t>5</w:t>
    </w:r>
    <w:r w:rsidRPr="00E51B78">
      <w:rPr>
        <w:rFonts w:ascii="Arial Narrow" w:eastAsia="Calibri" w:hAnsi="Arial Narrow" w:cs="Times New Roman"/>
        <w:noProof/>
        <w:color w:val="1F497D"/>
        <w:szCs w:val="20"/>
        <w:shd w:val="clear" w:color="auto" w:fill="FFFFFF" w:themeFill="background1"/>
      </w:rPr>
      <w:fldChar w:fldCharType="end"/>
    </w:r>
  </w:p>
  <w:p w14:paraId="08648835" w14:textId="77777777" w:rsidR="00130994" w:rsidRPr="00130994" w:rsidRDefault="00130994" w:rsidP="00130994">
    <w:pPr>
      <w:widowControl w:val="0"/>
      <w:spacing w:before="60" w:after="60" w:line="240" w:lineRule="auto"/>
      <w:jc w:val="center"/>
      <w:rPr>
        <w:rFonts w:ascii="Arial Narrow" w:eastAsia="Calibri" w:hAnsi="Arial Narrow" w:cs="Times New Roman"/>
        <w:color w:val="1F497D"/>
        <w:szCs w:val="20"/>
      </w:rPr>
    </w:pPr>
    <w:r w:rsidRPr="00130994">
      <w:rPr>
        <w:rFonts w:ascii="Arial Narrow" w:eastAsia="Calibri" w:hAnsi="Arial Narrow" w:cs="Times New Roman"/>
        <w:color w:val="1F497D"/>
        <w:szCs w:val="20"/>
      </w:rPr>
      <w:t xml:space="preserve">340B Prime Vendor Program | 888.340.BPVP (2787) | apexusanswers@340Bpvp.com | www.340Bpvp.com </w:t>
    </w:r>
  </w:p>
  <w:p w14:paraId="4CD3CE2B" w14:textId="2339723A" w:rsidR="00130994" w:rsidRPr="00130994" w:rsidRDefault="00130994" w:rsidP="00C32F2E">
    <w:pPr>
      <w:widowControl w:val="0"/>
      <w:tabs>
        <w:tab w:val="center" w:pos="4680"/>
        <w:tab w:val="right" w:pos="13770"/>
      </w:tabs>
      <w:spacing w:after="0" w:line="240" w:lineRule="auto"/>
      <w:rPr>
        <w:rFonts w:ascii="Calibri" w:eastAsia="Calibri" w:hAnsi="Calibri" w:cs="Times New Roman"/>
      </w:rPr>
    </w:pPr>
    <w:r w:rsidRPr="00130994">
      <w:rPr>
        <w:rFonts w:ascii="Arial Narrow" w:eastAsia="Calibri" w:hAnsi="Arial Narrow" w:cs="Times New Roman"/>
        <w:color w:val="1F497D"/>
        <w:sz w:val="16"/>
      </w:rPr>
      <w:t>© 20</w:t>
    </w:r>
    <w:r w:rsidR="008336E4">
      <w:rPr>
        <w:rFonts w:ascii="Arial Narrow" w:eastAsia="Calibri" w:hAnsi="Arial Narrow" w:cs="Times New Roman"/>
        <w:color w:val="1F497D"/>
        <w:sz w:val="16"/>
      </w:rPr>
      <w:t>2</w:t>
    </w:r>
    <w:r w:rsidR="00AC5EC9">
      <w:rPr>
        <w:rFonts w:ascii="Arial Narrow" w:eastAsia="Calibri" w:hAnsi="Arial Narrow" w:cs="Times New Roman"/>
        <w:color w:val="1F497D"/>
        <w:sz w:val="16"/>
      </w:rPr>
      <w:t>3</w:t>
    </w:r>
    <w:r w:rsidRPr="00130994">
      <w:rPr>
        <w:rFonts w:ascii="Arial Narrow" w:eastAsia="Calibri" w:hAnsi="Arial Narrow" w:cs="Times New Roman"/>
        <w:color w:val="1F497D"/>
        <w:sz w:val="16"/>
      </w:rPr>
      <w:t xml:space="preserve"> Apexus LLC.  All rights reserved.</w:t>
    </w:r>
    <w:r w:rsidRPr="00130994">
      <w:rPr>
        <w:rFonts w:ascii="Arial Narrow" w:eastAsia="Calibri" w:hAnsi="Arial Narrow" w:cs="Times New Roman"/>
        <w:color w:val="1F497D"/>
        <w:sz w:val="16"/>
      </w:rPr>
      <w:tab/>
    </w:r>
    <w:r w:rsidRPr="00130994">
      <w:rPr>
        <w:rFonts w:ascii="Arial Narrow" w:eastAsia="Calibri" w:hAnsi="Arial Narrow" w:cs="Times New Roman"/>
        <w:color w:val="1F497D"/>
        <w:sz w:val="16"/>
      </w:rPr>
      <w:tab/>
    </w:r>
    <w:r w:rsidR="00FE35D1">
      <w:rPr>
        <w:rFonts w:ascii="Arial Narrow" w:eastAsia="Calibri" w:hAnsi="Arial Narrow" w:cs="Times New Roman"/>
        <w:color w:val="1F497D"/>
        <w:sz w:val="16"/>
      </w:rPr>
      <w:t>0927</w:t>
    </w:r>
    <w:r w:rsidR="00AC5EC9">
      <w:rPr>
        <w:rFonts w:ascii="Arial Narrow" w:eastAsia="Calibri" w:hAnsi="Arial Narrow" w:cs="Times New Roman"/>
        <w:color w:val="1F497D"/>
        <w:sz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051E" w14:textId="77777777" w:rsidR="00591165" w:rsidRDefault="00591165" w:rsidP="00676B67">
      <w:pPr>
        <w:spacing w:after="0" w:line="240" w:lineRule="auto"/>
      </w:pPr>
      <w:r>
        <w:separator/>
      </w:r>
    </w:p>
  </w:footnote>
  <w:footnote w:type="continuationSeparator" w:id="0">
    <w:p w14:paraId="1843E926" w14:textId="77777777" w:rsidR="00591165" w:rsidRDefault="00591165" w:rsidP="00676B67">
      <w:pPr>
        <w:spacing w:after="0" w:line="240" w:lineRule="auto"/>
      </w:pPr>
      <w:r>
        <w:continuationSeparator/>
      </w:r>
    </w:p>
  </w:footnote>
  <w:footnote w:type="continuationNotice" w:id="1">
    <w:p w14:paraId="357CA269" w14:textId="77777777" w:rsidR="00591165" w:rsidRDefault="005911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F1B" w14:textId="090892FD" w:rsidR="00676B67" w:rsidRPr="00B731DE" w:rsidRDefault="00676B67" w:rsidP="00676B67">
    <w:pPr>
      <w:pStyle w:val="Header"/>
      <w:tabs>
        <w:tab w:val="clear" w:pos="9360"/>
        <w:tab w:val="left" w:pos="6390"/>
      </w:tabs>
      <w:rPr>
        <w:rFonts w:ascii="Arial Narrow" w:hAnsi="Arial Narrow"/>
        <w:noProof/>
        <w:color w:val="00B0F0"/>
        <w:sz w:val="36"/>
        <w:szCs w:val="36"/>
      </w:rPr>
    </w:pPr>
    <w:r w:rsidRPr="00B731DE">
      <w:rPr>
        <w:noProof/>
        <w:color w:val="2B579A"/>
        <w:sz w:val="36"/>
        <w:szCs w:val="36"/>
        <w:shd w:val="clear" w:color="auto" w:fill="E6E6E6"/>
      </w:rPr>
      <w:drawing>
        <wp:anchor distT="0" distB="0" distL="114300" distR="114300" simplePos="0" relativeHeight="251658243" behindDoc="1" locked="0" layoutInCell="1" allowOverlap="1" wp14:anchorId="3D4E7212" wp14:editId="6BABDA04">
          <wp:simplePos x="0" y="0"/>
          <wp:positionH relativeFrom="margin">
            <wp:align>right</wp:align>
          </wp:positionH>
          <wp:positionV relativeFrom="paragraph">
            <wp:posOffset>13335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sidR="00C11697" w:rsidRPr="00B731DE">
      <w:rPr>
        <w:rFonts w:ascii="Arial Narrow" w:hAnsi="Arial Narrow"/>
        <w:noProof/>
        <w:color w:val="00B0F0"/>
        <w:sz w:val="36"/>
        <w:szCs w:val="36"/>
      </w:rPr>
      <w:t>WAC A</w:t>
    </w:r>
    <w:r w:rsidRPr="00B731DE">
      <w:rPr>
        <w:rFonts w:ascii="Arial Narrow" w:hAnsi="Arial Narrow"/>
        <w:noProof/>
        <w:color w:val="00B0F0"/>
        <w:sz w:val="36"/>
        <w:szCs w:val="36"/>
      </w:rPr>
      <w:t>ccount</w:t>
    </w:r>
    <w:r w:rsidR="000B2745" w:rsidRPr="00B731DE">
      <w:rPr>
        <w:rFonts w:ascii="Arial Narrow" w:hAnsi="Arial Narrow"/>
        <w:noProof/>
        <w:color w:val="00B0F0"/>
        <w:sz w:val="36"/>
        <w:szCs w:val="36"/>
      </w:rPr>
      <w:t xml:space="preserve"> </w:t>
    </w:r>
    <w:r w:rsidR="00C11697" w:rsidRPr="00B731DE">
      <w:rPr>
        <w:rFonts w:ascii="Arial Narrow" w:hAnsi="Arial Narrow"/>
        <w:noProof/>
        <w:color w:val="00B0F0"/>
        <w:sz w:val="36"/>
        <w:szCs w:val="36"/>
      </w:rPr>
      <w:t>P</w:t>
    </w:r>
    <w:r w:rsidR="006B175F" w:rsidRPr="00B731DE">
      <w:rPr>
        <w:rFonts w:ascii="Arial Narrow" w:hAnsi="Arial Narrow"/>
        <w:noProof/>
        <w:color w:val="00B0F0"/>
        <w:sz w:val="36"/>
        <w:szCs w:val="36"/>
      </w:rPr>
      <w:t>urchasing</w:t>
    </w:r>
    <w:r w:rsidRPr="00B731DE">
      <w:rPr>
        <w:rFonts w:ascii="Arial Narrow" w:hAnsi="Arial Narrow"/>
        <w:noProof/>
        <w:color w:val="00B0F0"/>
        <w:sz w:val="36"/>
        <w:szCs w:val="36"/>
      </w:rPr>
      <w:t xml:space="preserve"> </w:t>
    </w:r>
    <w:r w:rsidR="00C11697" w:rsidRPr="00B731DE">
      <w:rPr>
        <w:rFonts w:ascii="Arial Narrow" w:hAnsi="Arial Narrow"/>
        <w:noProof/>
        <w:color w:val="00B0F0"/>
        <w:sz w:val="36"/>
        <w:szCs w:val="36"/>
      </w:rPr>
      <w:t>Strategies</w:t>
    </w:r>
  </w:p>
  <w:p w14:paraId="19BC4593" w14:textId="6C8AD2AC" w:rsidR="00C11697" w:rsidRPr="00C11697" w:rsidRDefault="00C11697" w:rsidP="00C11697">
    <w:pPr>
      <w:tabs>
        <w:tab w:val="center" w:pos="4680"/>
        <w:tab w:val="right" w:pos="9360"/>
      </w:tabs>
      <w:spacing w:after="0" w:line="240" w:lineRule="auto"/>
      <w:rPr>
        <w:rFonts w:ascii="Arial Narrow" w:eastAsia="Calibri" w:hAnsi="Arial Narrow" w:cs="Times New Roman"/>
        <w:noProof/>
        <w:color w:val="1F497D"/>
        <w:sz w:val="32"/>
      </w:rPr>
    </w:pPr>
    <w:r w:rsidRPr="00C11697">
      <w:rPr>
        <w:rFonts w:ascii="Arial Narrow" w:eastAsia="Calibri" w:hAnsi="Arial Narrow" w:cs="Times New Roman"/>
        <w:noProof/>
        <w:color w:val="1F497D"/>
        <w:sz w:val="32"/>
      </w:rPr>
      <w:t>GPO Proh</w:t>
    </w:r>
    <w:r>
      <w:rPr>
        <w:rFonts w:ascii="Arial Narrow" w:eastAsia="Calibri" w:hAnsi="Arial Narrow" w:cs="Times New Roman"/>
        <w:noProof/>
        <w:color w:val="1F497D"/>
        <w:sz w:val="32"/>
      </w:rPr>
      <w:t>ibition Hospitals (DSH/PED/CAN)</w:t>
    </w:r>
  </w:p>
  <w:p w14:paraId="6F51EC29" w14:textId="39B74DA9" w:rsidR="00C11697" w:rsidRDefault="00C11697" w:rsidP="00676B67">
    <w:pPr>
      <w:pStyle w:val="Header"/>
      <w:tabs>
        <w:tab w:val="clear" w:pos="9360"/>
        <w:tab w:val="left" w:pos="6390"/>
      </w:tabs>
    </w:pPr>
  </w:p>
  <w:p w14:paraId="33CAC472" w14:textId="378A259D" w:rsidR="00676B67" w:rsidRDefault="00DE63A0">
    <w:pPr>
      <w:pStyle w:val="Header"/>
    </w:pPr>
    <w:r w:rsidRPr="00F772E5">
      <w:rPr>
        <w:noProof/>
        <w:color w:val="2B579A"/>
        <w:shd w:val="clear" w:color="auto" w:fill="E6E6E6"/>
      </w:rPr>
      <w:drawing>
        <wp:anchor distT="0" distB="0" distL="114300" distR="114300" simplePos="0" relativeHeight="251658241" behindDoc="0" locked="0" layoutInCell="1" allowOverlap="1" wp14:anchorId="56DB035C" wp14:editId="3AD7AB83">
          <wp:simplePos x="0" y="0"/>
          <wp:positionH relativeFrom="margin">
            <wp:align>right</wp:align>
          </wp:positionH>
          <wp:positionV relativeFrom="paragraph">
            <wp:posOffset>65687</wp:posOffset>
          </wp:positionV>
          <wp:extent cx="6843395" cy="131164"/>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43395" cy="13116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C4F7" w14:textId="77777777" w:rsidR="008E15D6" w:rsidRDefault="008E15D6" w:rsidP="00676B67">
    <w:pPr>
      <w:pStyle w:val="Header"/>
      <w:tabs>
        <w:tab w:val="clear" w:pos="9360"/>
        <w:tab w:val="left" w:pos="6390"/>
      </w:tabs>
      <w:rPr>
        <w:rFonts w:ascii="Arial Narrow" w:hAnsi="Arial Narrow"/>
        <w:noProof/>
        <w:color w:val="00B0F0"/>
        <w:sz w:val="40"/>
        <w:szCs w:val="40"/>
      </w:rPr>
    </w:pPr>
    <w:r w:rsidRPr="00F772E5">
      <w:rPr>
        <w:noProof/>
        <w:color w:val="2B579A"/>
        <w:shd w:val="clear" w:color="auto" w:fill="E6E6E6"/>
      </w:rPr>
      <w:drawing>
        <wp:anchor distT="0" distB="0" distL="114300" distR="114300" simplePos="0" relativeHeight="251658245" behindDoc="1" locked="0" layoutInCell="1" allowOverlap="1" wp14:anchorId="7C1BC492" wp14:editId="7EDB9555">
          <wp:simplePos x="0" y="0"/>
          <wp:positionH relativeFrom="margin">
            <wp:align>right</wp:align>
          </wp:positionH>
          <wp:positionV relativeFrom="paragraph">
            <wp:posOffset>13335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WAC Account Purchasing Strategies</w:t>
    </w:r>
  </w:p>
  <w:p w14:paraId="54C3F46C" w14:textId="77777777" w:rsidR="008E15D6" w:rsidRPr="00C11697" w:rsidRDefault="008E15D6" w:rsidP="00C11697">
    <w:pPr>
      <w:tabs>
        <w:tab w:val="center" w:pos="4680"/>
        <w:tab w:val="right" w:pos="9360"/>
      </w:tabs>
      <w:spacing w:after="0" w:line="240" w:lineRule="auto"/>
      <w:rPr>
        <w:rFonts w:ascii="Arial Narrow" w:eastAsia="Calibri" w:hAnsi="Arial Narrow" w:cs="Times New Roman"/>
        <w:noProof/>
        <w:color w:val="1F497D"/>
        <w:sz w:val="32"/>
      </w:rPr>
    </w:pPr>
    <w:r w:rsidRPr="00C11697">
      <w:rPr>
        <w:rFonts w:ascii="Arial Narrow" w:eastAsia="Calibri" w:hAnsi="Arial Narrow" w:cs="Times New Roman"/>
        <w:noProof/>
        <w:color w:val="1F497D"/>
        <w:sz w:val="32"/>
      </w:rPr>
      <w:t>GPO Proh</w:t>
    </w:r>
    <w:r>
      <w:rPr>
        <w:rFonts w:ascii="Arial Narrow" w:eastAsia="Calibri" w:hAnsi="Arial Narrow" w:cs="Times New Roman"/>
        <w:noProof/>
        <w:color w:val="1F497D"/>
        <w:sz w:val="32"/>
      </w:rPr>
      <w:t>ibition Hospitals (DSH/PED/CAN)</w:t>
    </w:r>
  </w:p>
  <w:p w14:paraId="7C84B204" w14:textId="713D044B" w:rsidR="008E15D6" w:rsidRDefault="008E15D6" w:rsidP="00676B67">
    <w:pPr>
      <w:pStyle w:val="Header"/>
      <w:tabs>
        <w:tab w:val="clear" w:pos="9360"/>
        <w:tab w:val="left" w:pos="6390"/>
      </w:tabs>
    </w:pPr>
    <w:r w:rsidRPr="00F772E5">
      <w:rPr>
        <w:noProof/>
        <w:color w:val="2B579A"/>
        <w:shd w:val="clear" w:color="auto" w:fill="E6E6E6"/>
      </w:rPr>
      <w:drawing>
        <wp:anchor distT="0" distB="0" distL="114300" distR="114300" simplePos="0" relativeHeight="251658242" behindDoc="0" locked="0" layoutInCell="1" allowOverlap="1" wp14:anchorId="074037A5" wp14:editId="48FCC86D">
          <wp:simplePos x="0" y="0"/>
          <wp:positionH relativeFrom="margin">
            <wp:posOffset>9525</wp:posOffset>
          </wp:positionH>
          <wp:positionV relativeFrom="paragraph">
            <wp:posOffset>170815</wp:posOffset>
          </wp:positionV>
          <wp:extent cx="8713357" cy="12890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41490" cy="129321"/>
                  </a:xfrm>
                  <a:prstGeom prst="rect">
                    <a:avLst/>
                  </a:prstGeom>
                </pic:spPr>
              </pic:pic>
            </a:graphicData>
          </a:graphic>
          <wp14:sizeRelH relativeFrom="page">
            <wp14:pctWidth>0</wp14:pctWidth>
          </wp14:sizeRelH>
          <wp14:sizeRelV relativeFrom="page">
            <wp14:pctHeight>0</wp14:pctHeight>
          </wp14:sizeRelV>
        </wp:anchor>
      </w:drawing>
    </w:r>
  </w:p>
  <w:p w14:paraId="09AE3B0B" w14:textId="604480CD" w:rsidR="008E15D6" w:rsidRDefault="008E1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4888" w14:textId="77777777" w:rsidR="008E15D6" w:rsidRDefault="008E15D6" w:rsidP="00676B67">
    <w:pPr>
      <w:pStyle w:val="Header"/>
      <w:tabs>
        <w:tab w:val="clear" w:pos="9360"/>
        <w:tab w:val="left" w:pos="6390"/>
      </w:tabs>
      <w:rPr>
        <w:rFonts w:ascii="Arial Narrow" w:hAnsi="Arial Narrow"/>
        <w:noProof/>
        <w:color w:val="00B0F0"/>
        <w:sz w:val="40"/>
        <w:szCs w:val="40"/>
      </w:rPr>
    </w:pPr>
    <w:r w:rsidRPr="00F772E5">
      <w:rPr>
        <w:noProof/>
        <w:color w:val="2B579A"/>
        <w:shd w:val="clear" w:color="auto" w:fill="E6E6E6"/>
      </w:rPr>
      <w:drawing>
        <wp:anchor distT="0" distB="0" distL="114300" distR="114300" simplePos="0" relativeHeight="251658247" behindDoc="1" locked="0" layoutInCell="1" allowOverlap="1" wp14:anchorId="26378F85" wp14:editId="7187A1B3">
          <wp:simplePos x="0" y="0"/>
          <wp:positionH relativeFrom="margin">
            <wp:align>right</wp:align>
          </wp:positionH>
          <wp:positionV relativeFrom="paragraph">
            <wp:posOffset>13335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WAC Account Purchasing Strategies</w:t>
    </w:r>
  </w:p>
  <w:p w14:paraId="127F4FEB" w14:textId="50C8C049" w:rsidR="008E15D6" w:rsidRPr="00C11697" w:rsidRDefault="008E15D6" w:rsidP="00C11697">
    <w:pPr>
      <w:tabs>
        <w:tab w:val="center" w:pos="4680"/>
        <w:tab w:val="right" w:pos="9360"/>
      </w:tabs>
      <w:spacing w:after="0" w:line="240" w:lineRule="auto"/>
      <w:rPr>
        <w:rFonts w:ascii="Arial Narrow" w:eastAsia="Calibri" w:hAnsi="Arial Narrow" w:cs="Times New Roman"/>
        <w:noProof/>
        <w:color w:val="1F497D"/>
        <w:sz w:val="32"/>
      </w:rPr>
    </w:pPr>
    <w:r w:rsidRPr="00C11697">
      <w:rPr>
        <w:rFonts w:ascii="Arial Narrow" w:eastAsia="Calibri" w:hAnsi="Arial Narrow" w:cs="Times New Roman"/>
        <w:noProof/>
        <w:color w:val="1F497D"/>
        <w:sz w:val="32"/>
      </w:rPr>
      <w:t>GPO Proh</w:t>
    </w:r>
    <w:r>
      <w:rPr>
        <w:rFonts w:ascii="Arial Narrow" w:eastAsia="Calibri" w:hAnsi="Arial Narrow" w:cs="Times New Roman"/>
        <w:noProof/>
        <w:color w:val="1F497D"/>
        <w:sz w:val="32"/>
      </w:rPr>
      <w:t>ibition Hospitals (DSH/PED/CAN)</w:t>
    </w:r>
  </w:p>
  <w:p w14:paraId="39299AED" w14:textId="455C70BF" w:rsidR="008E15D6" w:rsidRDefault="008E15D6" w:rsidP="00676B67">
    <w:pPr>
      <w:pStyle w:val="Header"/>
      <w:tabs>
        <w:tab w:val="clear" w:pos="9360"/>
        <w:tab w:val="left" w:pos="6390"/>
      </w:tabs>
    </w:pPr>
    <w:r w:rsidRPr="00F772E5">
      <w:rPr>
        <w:noProof/>
        <w:color w:val="2B579A"/>
        <w:shd w:val="clear" w:color="auto" w:fill="E6E6E6"/>
      </w:rPr>
      <w:drawing>
        <wp:anchor distT="0" distB="0" distL="114300" distR="114300" simplePos="0" relativeHeight="251658244" behindDoc="0" locked="0" layoutInCell="1" allowOverlap="1" wp14:anchorId="065E1DC5" wp14:editId="7B534330">
          <wp:simplePos x="0" y="0"/>
          <wp:positionH relativeFrom="margin">
            <wp:align>left</wp:align>
          </wp:positionH>
          <wp:positionV relativeFrom="paragraph">
            <wp:posOffset>161925</wp:posOffset>
          </wp:positionV>
          <wp:extent cx="6843395" cy="131164"/>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43395" cy="131164"/>
                  </a:xfrm>
                  <a:prstGeom prst="rect">
                    <a:avLst/>
                  </a:prstGeom>
                </pic:spPr>
              </pic:pic>
            </a:graphicData>
          </a:graphic>
          <wp14:sizeRelH relativeFrom="page">
            <wp14:pctWidth>0</wp14:pctWidth>
          </wp14:sizeRelH>
          <wp14:sizeRelV relativeFrom="page">
            <wp14:pctHeight>0</wp14:pctHeight>
          </wp14:sizeRelV>
        </wp:anchor>
      </w:drawing>
    </w:r>
  </w:p>
  <w:p w14:paraId="0C29448D" w14:textId="123D9765" w:rsidR="008E15D6" w:rsidRDefault="008E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9AB"/>
    <w:multiLevelType w:val="hybridMultilevel"/>
    <w:tmpl w:val="0F522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23547"/>
    <w:multiLevelType w:val="hybridMultilevel"/>
    <w:tmpl w:val="10E0C14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A0F020A"/>
    <w:multiLevelType w:val="hybridMultilevel"/>
    <w:tmpl w:val="D40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55365"/>
    <w:multiLevelType w:val="hybridMultilevel"/>
    <w:tmpl w:val="2C0AB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15A50"/>
    <w:multiLevelType w:val="hybridMultilevel"/>
    <w:tmpl w:val="39FE416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26C7733"/>
    <w:multiLevelType w:val="hybridMultilevel"/>
    <w:tmpl w:val="5D865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937CA"/>
    <w:multiLevelType w:val="hybridMultilevel"/>
    <w:tmpl w:val="DFF8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B82189"/>
    <w:multiLevelType w:val="hybridMultilevel"/>
    <w:tmpl w:val="78585E0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CBD3EEC"/>
    <w:multiLevelType w:val="hybridMultilevel"/>
    <w:tmpl w:val="2BC6D4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64A51"/>
    <w:multiLevelType w:val="hybridMultilevel"/>
    <w:tmpl w:val="89BEC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1664A5"/>
    <w:multiLevelType w:val="hybridMultilevel"/>
    <w:tmpl w:val="B02E6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97BFC"/>
    <w:multiLevelType w:val="hybridMultilevel"/>
    <w:tmpl w:val="A31CE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F29E7"/>
    <w:multiLevelType w:val="hybridMultilevel"/>
    <w:tmpl w:val="5BF89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171B61"/>
    <w:multiLevelType w:val="hybridMultilevel"/>
    <w:tmpl w:val="0E1C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55F6E"/>
    <w:multiLevelType w:val="hybridMultilevel"/>
    <w:tmpl w:val="EE6AE2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F42766"/>
    <w:multiLevelType w:val="hybridMultilevel"/>
    <w:tmpl w:val="56F8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03857"/>
    <w:multiLevelType w:val="hybridMultilevel"/>
    <w:tmpl w:val="5C1AD90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8CD082B"/>
    <w:multiLevelType w:val="hybridMultilevel"/>
    <w:tmpl w:val="3038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2071C"/>
    <w:multiLevelType w:val="hybridMultilevel"/>
    <w:tmpl w:val="E5EA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102A7"/>
    <w:multiLevelType w:val="hybridMultilevel"/>
    <w:tmpl w:val="BE64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0626B"/>
    <w:multiLevelType w:val="hybridMultilevel"/>
    <w:tmpl w:val="FA9E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74122"/>
    <w:multiLevelType w:val="hybridMultilevel"/>
    <w:tmpl w:val="DAC8D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0D21A0"/>
    <w:multiLevelType w:val="hybridMultilevel"/>
    <w:tmpl w:val="40D0C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6D75A5"/>
    <w:multiLevelType w:val="hybridMultilevel"/>
    <w:tmpl w:val="112AE73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76D933F6"/>
    <w:multiLevelType w:val="hybridMultilevel"/>
    <w:tmpl w:val="9462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2A3CDE"/>
    <w:multiLevelType w:val="hybridMultilevel"/>
    <w:tmpl w:val="B1D84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883717">
    <w:abstractNumId w:val="23"/>
  </w:num>
  <w:num w:numId="2" w16cid:durableId="2058506079">
    <w:abstractNumId w:val="7"/>
  </w:num>
  <w:num w:numId="3" w16cid:durableId="225996564">
    <w:abstractNumId w:val="14"/>
  </w:num>
  <w:num w:numId="4" w16cid:durableId="750470177">
    <w:abstractNumId w:val="0"/>
  </w:num>
  <w:num w:numId="5" w16cid:durableId="988051923">
    <w:abstractNumId w:val="1"/>
  </w:num>
  <w:num w:numId="6" w16cid:durableId="1676883882">
    <w:abstractNumId w:val="4"/>
  </w:num>
  <w:num w:numId="7" w16cid:durableId="1859657425">
    <w:abstractNumId w:val="16"/>
  </w:num>
  <w:num w:numId="8" w16cid:durableId="168493858">
    <w:abstractNumId w:val="19"/>
  </w:num>
  <w:num w:numId="9" w16cid:durableId="1971201289">
    <w:abstractNumId w:val="22"/>
  </w:num>
  <w:num w:numId="10" w16cid:durableId="662397244">
    <w:abstractNumId w:val="13"/>
  </w:num>
  <w:num w:numId="11" w16cid:durableId="1092504283">
    <w:abstractNumId w:val="21"/>
  </w:num>
  <w:num w:numId="12" w16cid:durableId="1746801024">
    <w:abstractNumId w:val="5"/>
  </w:num>
  <w:num w:numId="13" w16cid:durableId="853956641">
    <w:abstractNumId w:val="11"/>
  </w:num>
  <w:num w:numId="14" w16cid:durableId="1973632967">
    <w:abstractNumId w:val="10"/>
  </w:num>
  <w:num w:numId="15" w16cid:durableId="1906212728">
    <w:abstractNumId w:val="9"/>
  </w:num>
  <w:num w:numId="16" w16cid:durableId="1902213267">
    <w:abstractNumId w:val="8"/>
  </w:num>
  <w:num w:numId="17" w16cid:durableId="1853491993">
    <w:abstractNumId w:val="2"/>
  </w:num>
  <w:num w:numId="18" w16cid:durableId="638808061">
    <w:abstractNumId w:val="24"/>
  </w:num>
  <w:num w:numId="19" w16cid:durableId="443042901">
    <w:abstractNumId w:val="18"/>
  </w:num>
  <w:num w:numId="20" w16cid:durableId="1260989114">
    <w:abstractNumId w:val="15"/>
  </w:num>
  <w:num w:numId="21" w16cid:durableId="1650941968">
    <w:abstractNumId w:val="17"/>
  </w:num>
  <w:num w:numId="22" w16cid:durableId="1169055618">
    <w:abstractNumId w:val="20"/>
  </w:num>
  <w:num w:numId="23" w16cid:durableId="1186670473">
    <w:abstractNumId w:val="25"/>
  </w:num>
  <w:num w:numId="24" w16cid:durableId="191769921">
    <w:abstractNumId w:val="3"/>
  </w:num>
  <w:num w:numId="25" w16cid:durableId="288778628">
    <w:abstractNumId w:val="12"/>
  </w:num>
  <w:num w:numId="26" w16cid:durableId="2083289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0MzY2MTK2NDYxM7VU0lEKTi0uzszPAykwrgUAtVxfNSwAAAA="/>
  </w:docVars>
  <w:rsids>
    <w:rsidRoot w:val="00676B67"/>
    <w:rsid w:val="0000029E"/>
    <w:rsid w:val="00000453"/>
    <w:rsid w:val="00004223"/>
    <w:rsid w:val="000107CA"/>
    <w:rsid w:val="00011D87"/>
    <w:rsid w:val="0001431E"/>
    <w:rsid w:val="00015D66"/>
    <w:rsid w:val="00020752"/>
    <w:rsid w:val="00024599"/>
    <w:rsid w:val="00027A7F"/>
    <w:rsid w:val="00027E6E"/>
    <w:rsid w:val="000328B5"/>
    <w:rsid w:val="0003428E"/>
    <w:rsid w:val="0003692F"/>
    <w:rsid w:val="0004394A"/>
    <w:rsid w:val="00046688"/>
    <w:rsid w:val="00047E8B"/>
    <w:rsid w:val="00052886"/>
    <w:rsid w:val="0005313B"/>
    <w:rsid w:val="0006197D"/>
    <w:rsid w:val="000656CF"/>
    <w:rsid w:val="00066665"/>
    <w:rsid w:val="000765B5"/>
    <w:rsid w:val="000766DF"/>
    <w:rsid w:val="00080AA3"/>
    <w:rsid w:val="00081A01"/>
    <w:rsid w:val="000967C3"/>
    <w:rsid w:val="00096A6B"/>
    <w:rsid w:val="000A034F"/>
    <w:rsid w:val="000A466C"/>
    <w:rsid w:val="000A513E"/>
    <w:rsid w:val="000B2745"/>
    <w:rsid w:val="000B5771"/>
    <w:rsid w:val="000C17C8"/>
    <w:rsid w:val="000C4A7C"/>
    <w:rsid w:val="000C4A97"/>
    <w:rsid w:val="000C6AB3"/>
    <w:rsid w:val="000D02B6"/>
    <w:rsid w:val="000D395C"/>
    <w:rsid w:val="000D3EEF"/>
    <w:rsid w:val="000D44F4"/>
    <w:rsid w:val="000D6E26"/>
    <w:rsid w:val="000D6ED0"/>
    <w:rsid w:val="000E7747"/>
    <w:rsid w:val="000F61D5"/>
    <w:rsid w:val="00104339"/>
    <w:rsid w:val="00106036"/>
    <w:rsid w:val="00106808"/>
    <w:rsid w:val="00106B8C"/>
    <w:rsid w:val="00107DD4"/>
    <w:rsid w:val="00111B61"/>
    <w:rsid w:val="0012114F"/>
    <w:rsid w:val="001217F0"/>
    <w:rsid w:val="00122D6C"/>
    <w:rsid w:val="00126B1C"/>
    <w:rsid w:val="00130353"/>
    <w:rsid w:val="00130994"/>
    <w:rsid w:val="0013321D"/>
    <w:rsid w:val="001379FD"/>
    <w:rsid w:val="001544E7"/>
    <w:rsid w:val="001562A1"/>
    <w:rsid w:val="00157D40"/>
    <w:rsid w:val="0016334B"/>
    <w:rsid w:val="00164D9F"/>
    <w:rsid w:val="00165EDD"/>
    <w:rsid w:val="00171361"/>
    <w:rsid w:val="00172166"/>
    <w:rsid w:val="00176B7C"/>
    <w:rsid w:val="00180299"/>
    <w:rsid w:val="00181194"/>
    <w:rsid w:val="00185CEA"/>
    <w:rsid w:val="00187444"/>
    <w:rsid w:val="001950B9"/>
    <w:rsid w:val="0019544A"/>
    <w:rsid w:val="001961E8"/>
    <w:rsid w:val="00197CD7"/>
    <w:rsid w:val="001A02B2"/>
    <w:rsid w:val="001A6317"/>
    <w:rsid w:val="001A7298"/>
    <w:rsid w:val="001B0644"/>
    <w:rsid w:val="001B38BA"/>
    <w:rsid w:val="001B423A"/>
    <w:rsid w:val="001B5C34"/>
    <w:rsid w:val="001B5D1D"/>
    <w:rsid w:val="001B72E0"/>
    <w:rsid w:val="001C2317"/>
    <w:rsid w:val="001C2E76"/>
    <w:rsid w:val="001C3F62"/>
    <w:rsid w:val="001C7B28"/>
    <w:rsid w:val="001D4DE2"/>
    <w:rsid w:val="001D6A6F"/>
    <w:rsid w:val="001E0D53"/>
    <w:rsid w:val="001F6A83"/>
    <w:rsid w:val="00210D68"/>
    <w:rsid w:val="00220556"/>
    <w:rsid w:val="00223EB4"/>
    <w:rsid w:val="00225CC5"/>
    <w:rsid w:val="002272DC"/>
    <w:rsid w:val="0022797A"/>
    <w:rsid w:val="002301B9"/>
    <w:rsid w:val="00231047"/>
    <w:rsid w:val="00231A4E"/>
    <w:rsid w:val="002429C8"/>
    <w:rsid w:val="00244FE8"/>
    <w:rsid w:val="00245251"/>
    <w:rsid w:val="002453AB"/>
    <w:rsid w:val="00261D06"/>
    <w:rsid w:val="002665B7"/>
    <w:rsid w:val="00272733"/>
    <w:rsid w:val="002732CD"/>
    <w:rsid w:val="002813BC"/>
    <w:rsid w:val="00287851"/>
    <w:rsid w:val="00290636"/>
    <w:rsid w:val="002917B2"/>
    <w:rsid w:val="0029448F"/>
    <w:rsid w:val="00294913"/>
    <w:rsid w:val="00295E27"/>
    <w:rsid w:val="0029754C"/>
    <w:rsid w:val="002A29BC"/>
    <w:rsid w:val="002A3DCF"/>
    <w:rsid w:val="002B3A5C"/>
    <w:rsid w:val="002C125A"/>
    <w:rsid w:val="002C1463"/>
    <w:rsid w:val="002C4022"/>
    <w:rsid w:val="002C5F20"/>
    <w:rsid w:val="002D0819"/>
    <w:rsid w:val="002D338A"/>
    <w:rsid w:val="002D4CD8"/>
    <w:rsid w:val="002D5178"/>
    <w:rsid w:val="002D7D65"/>
    <w:rsid w:val="002E0FF2"/>
    <w:rsid w:val="002E2493"/>
    <w:rsid w:val="002E2C25"/>
    <w:rsid w:val="002E4C85"/>
    <w:rsid w:val="002F0E66"/>
    <w:rsid w:val="00301F5C"/>
    <w:rsid w:val="00305845"/>
    <w:rsid w:val="00310CD8"/>
    <w:rsid w:val="003161B1"/>
    <w:rsid w:val="00317749"/>
    <w:rsid w:val="00320E63"/>
    <w:rsid w:val="00326656"/>
    <w:rsid w:val="00327E0A"/>
    <w:rsid w:val="00337FC4"/>
    <w:rsid w:val="003427B4"/>
    <w:rsid w:val="00344402"/>
    <w:rsid w:val="00344EE9"/>
    <w:rsid w:val="00345D8B"/>
    <w:rsid w:val="003517EB"/>
    <w:rsid w:val="003532D9"/>
    <w:rsid w:val="0036018C"/>
    <w:rsid w:val="0036051B"/>
    <w:rsid w:val="003723A9"/>
    <w:rsid w:val="00373474"/>
    <w:rsid w:val="003808AD"/>
    <w:rsid w:val="003818BB"/>
    <w:rsid w:val="00383758"/>
    <w:rsid w:val="00385D82"/>
    <w:rsid w:val="00393263"/>
    <w:rsid w:val="00393EA5"/>
    <w:rsid w:val="0039596A"/>
    <w:rsid w:val="003B1606"/>
    <w:rsid w:val="003B3E50"/>
    <w:rsid w:val="003B5BD2"/>
    <w:rsid w:val="003C2532"/>
    <w:rsid w:val="003C555D"/>
    <w:rsid w:val="003C5FED"/>
    <w:rsid w:val="003C7E39"/>
    <w:rsid w:val="003D0639"/>
    <w:rsid w:val="003D09E3"/>
    <w:rsid w:val="003D4252"/>
    <w:rsid w:val="003D463A"/>
    <w:rsid w:val="003E665D"/>
    <w:rsid w:val="003E6E67"/>
    <w:rsid w:val="003F0BAC"/>
    <w:rsid w:val="003F141C"/>
    <w:rsid w:val="003F1563"/>
    <w:rsid w:val="003F398E"/>
    <w:rsid w:val="003F3A7C"/>
    <w:rsid w:val="003F3E8B"/>
    <w:rsid w:val="0040540B"/>
    <w:rsid w:val="00407946"/>
    <w:rsid w:val="004146B8"/>
    <w:rsid w:val="004205A8"/>
    <w:rsid w:val="00420F8D"/>
    <w:rsid w:val="004232D8"/>
    <w:rsid w:val="0042510F"/>
    <w:rsid w:val="0043678F"/>
    <w:rsid w:val="00440F23"/>
    <w:rsid w:val="00443316"/>
    <w:rsid w:val="004471D1"/>
    <w:rsid w:val="004552CF"/>
    <w:rsid w:val="00460CEA"/>
    <w:rsid w:val="00467EE3"/>
    <w:rsid w:val="00471272"/>
    <w:rsid w:val="004714A3"/>
    <w:rsid w:val="00471A75"/>
    <w:rsid w:val="0047272A"/>
    <w:rsid w:val="004766ED"/>
    <w:rsid w:val="00476CC4"/>
    <w:rsid w:val="0048257A"/>
    <w:rsid w:val="00483D27"/>
    <w:rsid w:val="004847B1"/>
    <w:rsid w:val="0048531E"/>
    <w:rsid w:val="00485C76"/>
    <w:rsid w:val="00486BD9"/>
    <w:rsid w:val="00487F52"/>
    <w:rsid w:val="00492FC2"/>
    <w:rsid w:val="004A43B3"/>
    <w:rsid w:val="004B007E"/>
    <w:rsid w:val="004B3181"/>
    <w:rsid w:val="004B40DA"/>
    <w:rsid w:val="004C5FE6"/>
    <w:rsid w:val="004C5FFF"/>
    <w:rsid w:val="004D0E7F"/>
    <w:rsid w:val="004D20FE"/>
    <w:rsid w:val="004D2A46"/>
    <w:rsid w:val="004D36E1"/>
    <w:rsid w:val="004D643A"/>
    <w:rsid w:val="004D6DE3"/>
    <w:rsid w:val="004D726F"/>
    <w:rsid w:val="004E07F8"/>
    <w:rsid w:val="004E4C4C"/>
    <w:rsid w:val="004E4DD3"/>
    <w:rsid w:val="004F60AD"/>
    <w:rsid w:val="004F7A42"/>
    <w:rsid w:val="00502302"/>
    <w:rsid w:val="0050424A"/>
    <w:rsid w:val="00505397"/>
    <w:rsid w:val="00517645"/>
    <w:rsid w:val="00517E6C"/>
    <w:rsid w:val="00523B7B"/>
    <w:rsid w:val="0052623C"/>
    <w:rsid w:val="00526292"/>
    <w:rsid w:val="005263F6"/>
    <w:rsid w:val="00533217"/>
    <w:rsid w:val="00533C0E"/>
    <w:rsid w:val="005418B3"/>
    <w:rsid w:val="005438FB"/>
    <w:rsid w:val="00550682"/>
    <w:rsid w:val="0055157D"/>
    <w:rsid w:val="00552F02"/>
    <w:rsid w:val="0055702D"/>
    <w:rsid w:val="00557C72"/>
    <w:rsid w:val="00561133"/>
    <w:rsid w:val="005627BB"/>
    <w:rsid w:val="005679D8"/>
    <w:rsid w:val="00570443"/>
    <w:rsid w:val="00574FF4"/>
    <w:rsid w:val="00575D58"/>
    <w:rsid w:val="00576349"/>
    <w:rsid w:val="00577D99"/>
    <w:rsid w:val="00583419"/>
    <w:rsid w:val="00584043"/>
    <w:rsid w:val="00585E7E"/>
    <w:rsid w:val="00591165"/>
    <w:rsid w:val="0059289C"/>
    <w:rsid w:val="00595EC9"/>
    <w:rsid w:val="0059640F"/>
    <w:rsid w:val="005B28E8"/>
    <w:rsid w:val="005C113B"/>
    <w:rsid w:val="005C2FE2"/>
    <w:rsid w:val="005E091F"/>
    <w:rsid w:val="005E11E2"/>
    <w:rsid w:val="005E7155"/>
    <w:rsid w:val="005F0FBA"/>
    <w:rsid w:val="005F3256"/>
    <w:rsid w:val="005F4804"/>
    <w:rsid w:val="005F7AD5"/>
    <w:rsid w:val="00601A30"/>
    <w:rsid w:val="00605FDC"/>
    <w:rsid w:val="006203D5"/>
    <w:rsid w:val="00620CA1"/>
    <w:rsid w:val="00621E97"/>
    <w:rsid w:val="00623707"/>
    <w:rsid w:val="00625FA9"/>
    <w:rsid w:val="006260D3"/>
    <w:rsid w:val="006327A2"/>
    <w:rsid w:val="00633ED9"/>
    <w:rsid w:val="006501EB"/>
    <w:rsid w:val="00654AF4"/>
    <w:rsid w:val="00660FC6"/>
    <w:rsid w:val="00667CD8"/>
    <w:rsid w:val="00674696"/>
    <w:rsid w:val="00674900"/>
    <w:rsid w:val="0067522C"/>
    <w:rsid w:val="00676937"/>
    <w:rsid w:val="00676B67"/>
    <w:rsid w:val="006802A2"/>
    <w:rsid w:val="00682156"/>
    <w:rsid w:val="0068399D"/>
    <w:rsid w:val="00686997"/>
    <w:rsid w:val="006926E4"/>
    <w:rsid w:val="00693877"/>
    <w:rsid w:val="00697E9A"/>
    <w:rsid w:val="006A1632"/>
    <w:rsid w:val="006A612E"/>
    <w:rsid w:val="006B175F"/>
    <w:rsid w:val="006B416B"/>
    <w:rsid w:val="006B7A03"/>
    <w:rsid w:val="006C063C"/>
    <w:rsid w:val="006C0E77"/>
    <w:rsid w:val="006C1669"/>
    <w:rsid w:val="006C3A64"/>
    <w:rsid w:val="006C3F65"/>
    <w:rsid w:val="006C41F7"/>
    <w:rsid w:val="006D099B"/>
    <w:rsid w:val="006D3BEF"/>
    <w:rsid w:val="006D5360"/>
    <w:rsid w:val="006D6449"/>
    <w:rsid w:val="006D670E"/>
    <w:rsid w:val="006D6E29"/>
    <w:rsid w:val="006F68B4"/>
    <w:rsid w:val="007046DE"/>
    <w:rsid w:val="0071255D"/>
    <w:rsid w:val="00714C0C"/>
    <w:rsid w:val="00717BD8"/>
    <w:rsid w:val="00720D63"/>
    <w:rsid w:val="00732E0A"/>
    <w:rsid w:val="007370FC"/>
    <w:rsid w:val="00737A47"/>
    <w:rsid w:val="00741005"/>
    <w:rsid w:val="007422B4"/>
    <w:rsid w:val="007501B2"/>
    <w:rsid w:val="0075640D"/>
    <w:rsid w:val="007711C9"/>
    <w:rsid w:val="00772C2A"/>
    <w:rsid w:val="00777EF9"/>
    <w:rsid w:val="00777FC6"/>
    <w:rsid w:val="007819F9"/>
    <w:rsid w:val="00782F04"/>
    <w:rsid w:val="00784AEB"/>
    <w:rsid w:val="00785A9B"/>
    <w:rsid w:val="007938EE"/>
    <w:rsid w:val="00793F98"/>
    <w:rsid w:val="00795177"/>
    <w:rsid w:val="007A1219"/>
    <w:rsid w:val="007A213D"/>
    <w:rsid w:val="007A5CB5"/>
    <w:rsid w:val="007A6F46"/>
    <w:rsid w:val="007B28FA"/>
    <w:rsid w:val="007B399F"/>
    <w:rsid w:val="007B3C43"/>
    <w:rsid w:val="007B601C"/>
    <w:rsid w:val="007B69C6"/>
    <w:rsid w:val="007C0D89"/>
    <w:rsid w:val="007C26E4"/>
    <w:rsid w:val="007C6066"/>
    <w:rsid w:val="007D1B71"/>
    <w:rsid w:val="007D3EC1"/>
    <w:rsid w:val="007D7421"/>
    <w:rsid w:val="007F1320"/>
    <w:rsid w:val="007F140D"/>
    <w:rsid w:val="007F2375"/>
    <w:rsid w:val="007F7503"/>
    <w:rsid w:val="00802622"/>
    <w:rsid w:val="008061A4"/>
    <w:rsid w:val="00807C66"/>
    <w:rsid w:val="00807CF9"/>
    <w:rsid w:val="00810573"/>
    <w:rsid w:val="00813FAA"/>
    <w:rsid w:val="0081590E"/>
    <w:rsid w:val="008270A4"/>
    <w:rsid w:val="00827620"/>
    <w:rsid w:val="00827F91"/>
    <w:rsid w:val="00831227"/>
    <w:rsid w:val="0083170F"/>
    <w:rsid w:val="00831E24"/>
    <w:rsid w:val="00832CAB"/>
    <w:rsid w:val="008336E4"/>
    <w:rsid w:val="008402D3"/>
    <w:rsid w:val="00840A96"/>
    <w:rsid w:val="008422DF"/>
    <w:rsid w:val="00842ECA"/>
    <w:rsid w:val="0084608D"/>
    <w:rsid w:val="0084686A"/>
    <w:rsid w:val="00852417"/>
    <w:rsid w:val="00852F7B"/>
    <w:rsid w:val="008566EB"/>
    <w:rsid w:val="00857B77"/>
    <w:rsid w:val="0086258A"/>
    <w:rsid w:val="00864A0B"/>
    <w:rsid w:val="00871396"/>
    <w:rsid w:val="0087148A"/>
    <w:rsid w:val="00873761"/>
    <w:rsid w:val="00875929"/>
    <w:rsid w:val="00875CEB"/>
    <w:rsid w:val="008839C6"/>
    <w:rsid w:val="0088650A"/>
    <w:rsid w:val="0089277F"/>
    <w:rsid w:val="008A4290"/>
    <w:rsid w:val="008A6AEA"/>
    <w:rsid w:val="008B14B2"/>
    <w:rsid w:val="008B3CA4"/>
    <w:rsid w:val="008B3F0D"/>
    <w:rsid w:val="008B5FE8"/>
    <w:rsid w:val="008C047E"/>
    <w:rsid w:val="008C66F9"/>
    <w:rsid w:val="008D10A3"/>
    <w:rsid w:val="008D772C"/>
    <w:rsid w:val="008D7E90"/>
    <w:rsid w:val="008E15D6"/>
    <w:rsid w:val="008E299E"/>
    <w:rsid w:val="008E500C"/>
    <w:rsid w:val="008E5BD0"/>
    <w:rsid w:val="008F61FF"/>
    <w:rsid w:val="008F6F97"/>
    <w:rsid w:val="00902CDF"/>
    <w:rsid w:val="009105E6"/>
    <w:rsid w:val="00914DC1"/>
    <w:rsid w:val="00927923"/>
    <w:rsid w:val="00931767"/>
    <w:rsid w:val="00933A17"/>
    <w:rsid w:val="00934F7F"/>
    <w:rsid w:val="00940989"/>
    <w:rsid w:val="00943D0E"/>
    <w:rsid w:val="00952784"/>
    <w:rsid w:val="0095427D"/>
    <w:rsid w:val="00964894"/>
    <w:rsid w:val="00966684"/>
    <w:rsid w:val="009727B7"/>
    <w:rsid w:val="00972E87"/>
    <w:rsid w:val="00972F23"/>
    <w:rsid w:val="009734A0"/>
    <w:rsid w:val="009754C1"/>
    <w:rsid w:val="0098051C"/>
    <w:rsid w:val="00980FC4"/>
    <w:rsid w:val="00982FF6"/>
    <w:rsid w:val="00996931"/>
    <w:rsid w:val="009976EF"/>
    <w:rsid w:val="0099780E"/>
    <w:rsid w:val="009A672C"/>
    <w:rsid w:val="009B3170"/>
    <w:rsid w:val="009B586E"/>
    <w:rsid w:val="009C2B86"/>
    <w:rsid w:val="009C7D28"/>
    <w:rsid w:val="009D3B84"/>
    <w:rsid w:val="009D5C20"/>
    <w:rsid w:val="009E0748"/>
    <w:rsid w:val="009E722A"/>
    <w:rsid w:val="009F1AC4"/>
    <w:rsid w:val="00A00E11"/>
    <w:rsid w:val="00A01FA3"/>
    <w:rsid w:val="00A06CC1"/>
    <w:rsid w:val="00A2108D"/>
    <w:rsid w:val="00A211A5"/>
    <w:rsid w:val="00A24710"/>
    <w:rsid w:val="00A25751"/>
    <w:rsid w:val="00A275A2"/>
    <w:rsid w:val="00A310FA"/>
    <w:rsid w:val="00A37B2B"/>
    <w:rsid w:val="00A46F6E"/>
    <w:rsid w:val="00A56EE6"/>
    <w:rsid w:val="00A65E7A"/>
    <w:rsid w:val="00A6769E"/>
    <w:rsid w:val="00A67E78"/>
    <w:rsid w:val="00A72C5C"/>
    <w:rsid w:val="00A73C3B"/>
    <w:rsid w:val="00A82C24"/>
    <w:rsid w:val="00A8315E"/>
    <w:rsid w:val="00A86EA2"/>
    <w:rsid w:val="00A90E5F"/>
    <w:rsid w:val="00A932B6"/>
    <w:rsid w:val="00A957FE"/>
    <w:rsid w:val="00A97A3B"/>
    <w:rsid w:val="00AA4DE3"/>
    <w:rsid w:val="00AA7047"/>
    <w:rsid w:val="00AB228A"/>
    <w:rsid w:val="00AB57A0"/>
    <w:rsid w:val="00AC2520"/>
    <w:rsid w:val="00AC3B30"/>
    <w:rsid w:val="00AC4484"/>
    <w:rsid w:val="00AC468F"/>
    <w:rsid w:val="00AC5EC9"/>
    <w:rsid w:val="00AD0953"/>
    <w:rsid w:val="00AE088D"/>
    <w:rsid w:val="00AE10F9"/>
    <w:rsid w:val="00AF1761"/>
    <w:rsid w:val="00AF1F66"/>
    <w:rsid w:val="00AF7375"/>
    <w:rsid w:val="00B01488"/>
    <w:rsid w:val="00B01C57"/>
    <w:rsid w:val="00B124E8"/>
    <w:rsid w:val="00B14D25"/>
    <w:rsid w:val="00B177C3"/>
    <w:rsid w:val="00B20BD2"/>
    <w:rsid w:val="00B2386B"/>
    <w:rsid w:val="00B252B9"/>
    <w:rsid w:val="00B27429"/>
    <w:rsid w:val="00B27AB8"/>
    <w:rsid w:val="00B32630"/>
    <w:rsid w:val="00B329FB"/>
    <w:rsid w:val="00B34D94"/>
    <w:rsid w:val="00B41A23"/>
    <w:rsid w:val="00B50886"/>
    <w:rsid w:val="00B60E10"/>
    <w:rsid w:val="00B62C82"/>
    <w:rsid w:val="00B653DD"/>
    <w:rsid w:val="00B6774A"/>
    <w:rsid w:val="00B707B5"/>
    <w:rsid w:val="00B7116E"/>
    <w:rsid w:val="00B713EE"/>
    <w:rsid w:val="00B731DE"/>
    <w:rsid w:val="00B737C6"/>
    <w:rsid w:val="00B7533D"/>
    <w:rsid w:val="00B7572B"/>
    <w:rsid w:val="00B76A6C"/>
    <w:rsid w:val="00B772CF"/>
    <w:rsid w:val="00B77445"/>
    <w:rsid w:val="00B861F4"/>
    <w:rsid w:val="00B86E3A"/>
    <w:rsid w:val="00B87CE0"/>
    <w:rsid w:val="00B90723"/>
    <w:rsid w:val="00BA18CA"/>
    <w:rsid w:val="00BA5ADA"/>
    <w:rsid w:val="00BA6AD5"/>
    <w:rsid w:val="00BA6E4A"/>
    <w:rsid w:val="00BA7233"/>
    <w:rsid w:val="00BA73FA"/>
    <w:rsid w:val="00BB2A11"/>
    <w:rsid w:val="00BB3AF2"/>
    <w:rsid w:val="00BB73B1"/>
    <w:rsid w:val="00BC0A0E"/>
    <w:rsid w:val="00BC1C50"/>
    <w:rsid w:val="00BC5AE0"/>
    <w:rsid w:val="00BD6EAA"/>
    <w:rsid w:val="00BE08DC"/>
    <w:rsid w:val="00BF2111"/>
    <w:rsid w:val="00C00FEE"/>
    <w:rsid w:val="00C11697"/>
    <w:rsid w:val="00C11F2C"/>
    <w:rsid w:val="00C1264E"/>
    <w:rsid w:val="00C157AB"/>
    <w:rsid w:val="00C17122"/>
    <w:rsid w:val="00C236A0"/>
    <w:rsid w:val="00C32F2E"/>
    <w:rsid w:val="00C3340A"/>
    <w:rsid w:val="00C34862"/>
    <w:rsid w:val="00C45D9A"/>
    <w:rsid w:val="00C4773B"/>
    <w:rsid w:val="00C54CE7"/>
    <w:rsid w:val="00C64B30"/>
    <w:rsid w:val="00C66D23"/>
    <w:rsid w:val="00C6788E"/>
    <w:rsid w:val="00C67BEC"/>
    <w:rsid w:val="00C70E1A"/>
    <w:rsid w:val="00C7196F"/>
    <w:rsid w:val="00C7739F"/>
    <w:rsid w:val="00C81CE2"/>
    <w:rsid w:val="00C85B1A"/>
    <w:rsid w:val="00C873B7"/>
    <w:rsid w:val="00C90E78"/>
    <w:rsid w:val="00C972DA"/>
    <w:rsid w:val="00CA7B92"/>
    <w:rsid w:val="00CB6261"/>
    <w:rsid w:val="00CB6645"/>
    <w:rsid w:val="00CC3917"/>
    <w:rsid w:val="00CC7B9D"/>
    <w:rsid w:val="00CD100F"/>
    <w:rsid w:val="00CD315E"/>
    <w:rsid w:val="00CD5425"/>
    <w:rsid w:val="00CE396F"/>
    <w:rsid w:val="00CE520F"/>
    <w:rsid w:val="00CE6AAD"/>
    <w:rsid w:val="00CF070B"/>
    <w:rsid w:val="00CF0F17"/>
    <w:rsid w:val="00D001AB"/>
    <w:rsid w:val="00D129DC"/>
    <w:rsid w:val="00D12D9F"/>
    <w:rsid w:val="00D22665"/>
    <w:rsid w:val="00D23894"/>
    <w:rsid w:val="00D25DD1"/>
    <w:rsid w:val="00D402E4"/>
    <w:rsid w:val="00D4641E"/>
    <w:rsid w:val="00D563C5"/>
    <w:rsid w:val="00D6480C"/>
    <w:rsid w:val="00D649D9"/>
    <w:rsid w:val="00D6653B"/>
    <w:rsid w:val="00D6794D"/>
    <w:rsid w:val="00D73435"/>
    <w:rsid w:val="00D765ED"/>
    <w:rsid w:val="00D77DBD"/>
    <w:rsid w:val="00D819D2"/>
    <w:rsid w:val="00D852FC"/>
    <w:rsid w:val="00D91969"/>
    <w:rsid w:val="00D928B2"/>
    <w:rsid w:val="00D92F0A"/>
    <w:rsid w:val="00D93021"/>
    <w:rsid w:val="00D953E0"/>
    <w:rsid w:val="00DA0807"/>
    <w:rsid w:val="00DA2F1E"/>
    <w:rsid w:val="00DA3CA2"/>
    <w:rsid w:val="00DA74CB"/>
    <w:rsid w:val="00DB1384"/>
    <w:rsid w:val="00DB3BD3"/>
    <w:rsid w:val="00DC2426"/>
    <w:rsid w:val="00DC4582"/>
    <w:rsid w:val="00DC5B82"/>
    <w:rsid w:val="00DC5E0B"/>
    <w:rsid w:val="00DD409B"/>
    <w:rsid w:val="00DE1A59"/>
    <w:rsid w:val="00DE63A0"/>
    <w:rsid w:val="00DE7031"/>
    <w:rsid w:val="00DF38F4"/>
    <w:rsid w:val="00DF75F5"/>
    <w:rsid w:val="00E02D28"/>
    <w:rsid w:val="00E07188"/>
    <w:rsid w:val="00E12D64"/>
    <w:rsid w:val="00E1454E"/>
    <w:rsid w:val="00E15561"/>
    <w:rsid w:val="00E16DBB"/>
    <w:rsid w:val="00E21116"/>
    <w:rsid w:val="00E21BB2"/>
    <w:rsid w:val="00E22A80"/>
    <w:rsid w:val="00E27558"/>
    <w:rsid w:val="00E30FBC"/>
    <w:rsid w:val="00E339CA"/>
    <w:rsid w:val="00E40D73"/>
    <w:rsid w:val="00E41A30"/>
    <w:rsid w:val="00E4475D"/>
    <w:rsid w:val="00E4547A"/>
    <w:rsid w:val="00E4679F"/>
    <w:rsid w:val="00E47B37"/>
    <w:rsid w:val="00E51B78"/>
    <w:rsid w:val="00E52F08"/>
    <w:rsid w:val="00E62D98"/>
    <w:rsid w:val="00E66DB0"/>
    <w:rsid w:val="00E707A0"/>
    <w:rsid w:val="00E7115E"/>
    <w:rsid w:val="00E717A2"/>
    <w:rsid w:val="00E75038"/>
    <w:rsid w:val="00E775BD"/>
    <w:rsid w:val="00E77B6B"/>
    <w:rsid w:val="00E84AAF"/>
    <w:rsid w:val="00E84D3D"/>
    <w:rsid w:val="00E87769"/>
    <w:rsid w:val="00E90D55"/>
    <w:rsid w:val="00E919E5"/>
    <w:rsid w:val="00E92B97"/>
    <w:rsid w:val="00E94CBC"/>
    <w:rsid w:val="00EA01A9"/>
    <w:rsid w:val="00EA453A"/>
    <w:rsid w:val="00EA7F34"/>
    <w:rsid w:val="00EB297E"/>
    <w:rsid w:val="00EB3B09"/>
    <w:rsid w:val="00EC071C"/>
    <w:rsid w:val="00EC209A"/>
    <w:rsid w:val="00EC29AA"/>
    <w:rsid w:val="00EC4978"/>
    <w:rsid w:val="00EC7124"/>
    <w:rsid w:val="00ED3F00"/>
    <w:rsid w:val="00EE4C40"/>
    <w:rsid w:val="00EE502C"/>
    <w:rsid w:val="00EE679E"/>
    <w:rsid w:val="00EF07F9"/>
    <w:rsid w:val="00EF1D1D"/>
    <w:rsid w:val="00EF61FE"/>
    <w:rsid w:val="00F018EA"/>
    <w:rsid w:val="00F07A9F"/>
    <w:rsid w:val="00F07C58"/>
    <w:rsid w:val="00F10D0F"/>
    <w:rsid w:val="00F14FCE"/>
    <w:rsid w:val="00F15920"/>
    <w:rsid w:val="00F2022B"/>
    <w:rsid w:val="00F23BD4"/>
    <w:rsid w:val="00F24028"/>
    <w:rsid w:val="00F24C87"/>
    <w:rsid w:val="00F24D29"/>
    <w:rsid w:val="00F26AFD"/>
    <w:rsid w:val="00F33CCC"/>
    <w:rsid w:val="00F345FF"/>
    <w:rsid w:val="00F409BD"/>
    <w:rsid w:val="00F46007"/>
    <w:rsid w:val="00F55EDF"/>
    <w:rsid w:val="00F5752C"/>
    <w:rsid w:val="00F6525E"/>
    <w:rsid w:val="00F71758"/>
    <w:rsid w:val="00F717E8"/>
    <w:rsid w:val="00F71DAF"/>
    <w:rsid w:val="00F72C2E"/>
    <w:rsid w:val="00F74191"/>
    <w:rsid w:val="00F75CDA"/>
    <w:rsid w:val="00F77DEE"/>
    <w:rsid w:val="00F84E1C"/>
    <w:rsid w:val="00F93629"/>
    <w:rsid w:val="00F94832"/>
    <w:rsid w:val="00F9661C"/>
    <w:rsid w:val="00FA6C12"/>
    <w:rsid w:val="00FA6EC2"/>
    <w:rsid w:val="00FB09E7"/>
    <w:rsid w:val="00FB0CFA"/>
    <w:rsid w:val="00FB1D06"/>
    <w:rsid w:val="00FB3882"/>
    <w:rsid w:val="00FB3DB2"/>
    <w:rsid w:val="00FB4745"/>
    <w:rsid w:val="00FB6239"/>
    <w:rsid w:val="00FC4A66"/>
    <w:rsid w:val="00FC51CE"/>
    <w:rsid w:val="00FD4778"/>
    <w:rsid w:val="00FE0020"/>
    <w:rsid w:val="00FE35D1"/>
    <w:rsid w:val="00FE4686"/>
    <w:rsid w:val="00FE7673"/>
    <w:rsid w:val="00FF3AE4"/>
    <w:rsid w:val="00FF43B0"/>
    <w:rsid w:val="00FF478C"/>
    <w:rsid w:val="00FF48D9"/>
    <w:rsid w:val="00FF5A1C"/>
    <w:rsid w:val="09930CAC"/>
    <w:rsid w:val="3B83B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3653CD9"/>
  <w15:chartTrackingRefBased/>
  <w15:docId w15:val="{6057996C-4428-4A29-876A-48981176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B67"/>
    <w:pPr>
      <w:ind w:left="720"/>
      <w:contextualSpacing/>
    </w:pPr>
  </w:style>
  <w:style w:type="table" w:styleId="TableGrid">
    <w:name w:val="Table Grid"/>
    <w:basedOn w:val="TableNormal"/>
    <w:uiPriority w:val="39"/>
    <w:rsid w:val="0067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6B67"/>
    <w:rPr>
      <w:color w:val="0563C1" w:themeColor="hyperlink"/>
      <w:u w:val="single"/>
    </w:rPr>
  </w:style>
  <w:style w:type="paragraph" w:styleId="Header">
    <w:name w:val="header"/>
    <w:basedOn w:val="Normal"/>
    <w:link w:val="HeaderChar"/>
    <w:uiPriority w:val="99"/>
    <w:unhideWhenUsed/>
    <w:rsid w:val="00676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B67"/>
  </w:style>
  <w:style w:type="paragraph" w:styleId="Footer">
    <w:name w:val="footer"/>
    <w:basedOn w:val="Normal"/>
    <w:link w:val="FooterChar"/>
    <w:uiPriority w:val="99"/>
    <w:unhideWhenUsed/>
    <w:rsid w:val="00676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B67"/>
  </w:style>
  <w:style w:type="character" w:styleId="CommentReference">
    <w:name w:val="annotation reference"/>
    <w:basedOn w:val="DefaultParagraphFont"/>
    <w:uiPriority w:val="99"/>
    <w:semiHidden/>
    <w:unhideWhenUsed/>
    <w:rsid w:val="0095427D"/>
    <w:rPr>
      <w:sz w:val="16"/>
      <w:szCs w:val="16"/>
    </w:rPr>
  </w:style>
  <w:style w:type="paragraph" w:styleId="CommentText">
    <w:name w:val="annotation text"/>
    <w:basedOn w:val="Normal"/>
    <w:link w:val="CommentTextChar"/>
    <w:uiPriority w:val="99"/>
    <w:semiHidden/>
    <w:unhideWhenUsed/>
    <w:rsid w:val="0095427D"/>
    <w:pPr>
      <w:spacing w:line="240" w:lineRule="auto"/>
    </w:pPr>
    <w:rPr>
      <w:sz w:val="20"/>
      <w:szCs w:val="20"/>
    </w:rPr>
  </w:style>
  <w:style w:type="character" w:customStyle="1" w:styleId="CommentTextChar">
    <w:name w:val="Comment Text Char"/>
    <w:basedOn w:val="DefaultParagraphFont"/>
    <w:link w:val="CommentText"/>
    <w:uiPriority w:val="99"/>
    <w:semiHidden/>
    <w:rsid w:val="0095427D"/>
    <w:rPr>
      <w:sz w:val="20"/>
      <w:szCs w:val="20"/>
    </w:rPr>
  </w:style>
  <w:style w:type="paragraph" w:styleId="CommentSubject">
    <w:name w:val="annotation subject"/>
    <w:basedOn w:val="CommentText"/>
    <w:next w:val="CommentText"/>
    <w:link w:val="CommentSubjectChar"/>
    <w:uiPriority w:val="99"/>
    <w:semiHidden/>
    <w:unhideWhenUsed/>
    <w:rsid w:val="0095427D"/>
    <w:rPr>
      <w:b/>
      <w:bCs/>
    </w:rPr>
  </w:style>
  <w:style w:type="character" w:customStyle="1" w:styleId="CommentSubjectChar">
    <w:name w:val="Comment Subject Char"/>
    <w:basedOn w:val="CommentTextChar"/>
    <w:link w:val="CommentSubject"/>
    <w:uiPriority w:val="99"/>
    <w:semiHidden/>
    <w:rsid w:val="0095427D"/>
    <w:rPr>
      <w:b/>
      <w:bCs/>
      <w:sz w:val="20"/>
      <w:szCs w:val="20"/>
    </w:rPr>
  </w:style>
  <w:style w:type="paragraph" w:styleId="BalloonText">
    <w:name w:val="Balloon Text"/>
    <w:basedOn w:val="Normal"/>
    <w:link w:val="BalloonTextChar"/>
    <w:uiPriority w:val="99"/>
    <w:semiHidden/>
    <w:unhideWhenUsed/>
    <w:rsid w:val="009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27D"/>
    <w:rPr>
      <w:rFonts w:ascii="Segoe UI" w:hAnsi="Segoe UI" w:cs="Segoe UI"/>
      <w:sz w:val="18"/>
      <w:szCs w:val="18"/>
    </w:rPr>
  </w:style>
  <w:style w:type="paragraph" w:styleId="Revision">
    <w:name w:val="Revision"/>
    <w:hidden/>
    <w:uiPriority w:val="99"/>
    <w:semiHidden/>
    <w:rsid w:val="000F61D5"/>
    <w:pPr>
      <w:spacing w:after="0" w:line="240" w:lineRule="auto"/>
    </w:pPr>
  </w:style>
  <w:style w:type="character" w:styleId="FollowedHyperlink">
    <w:name w:val="FollowedHyperlink"/>
    <w:basedOn w:val="DefaultParagraphFont"/>
    <w:uiPriority w:val="99"/>
    <w:semiHidden/>
    <w:unhideWhenUsed/>
    <w:rsid w:val="00231A4E"/>
    <w:rPr>
      <w:color w:val="954F72" w:themeColor="followedHyperlink"/>
      <w:u w:val="single"/>
    </w:rPr>
  </w:style>
  <w:style w:type="table" w:styleId="GridTable4-Accent6">
    <w:name w:val="Grid Table 4 Accent 6"/>
    <w:basedOn w:val="TableNormal"/>
    <w:uiPriority w:val="49"/>
    <w:rsid w:val="002732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8688">
      <w:bodyDiv w:val="1"/>
      <w:marLeft w:val="0"/>
      <w:marRight w:val="0"/>
      <w:marTop w:val="0"/>
      <w:marBottom w:val="0"/>
      <w:divBdr>
        <w:top w:val="none" w:sz="0" w:space="0" w:color="auto"/>
        <w:left w:val="none" w:sz="0" w:space="0" w:color="auto"/>
        <w:bottom w:val="none" w:sz="0" w:space="0" w:color="auto"/>
        <w:right w:val="none" w:sz="0" w:space="0" w:color="auto"/>
      </w:divBdr>
    </w:div>
    <w:div w:id="1199977661">
      <w:bodyDiv w:val="1"/>
      <w:marLeft w:val="0"/>
      <w:marRight w:val="0"/>
      <w:marTop w:val="0"/>
      <w:marBottom w:val="0"/>
      <w:divBdr>
        <w:top w:val="none" w:sz="0" w:space="0" w:color="auto"/>
        <w:left w:val="none" w:sz="0" w:space="0" w:color="auto"/>
        <w:bottom w:val="none" w:sz="0" w:space="0" w:color="auto"/>
        <w:right w:val="none" w:sz="0" w:space="0" w:color="auto"/>
      </w:divBdr>
    </w:div>
    <w:div w:id="16152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hrsa.gov/sites/default/files/opa/programrequirements/policyreleases/prohibitionongpoparticipation020713.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40bpvp.com/Documents/Public/340B%20Tools/non-gpo-wac-and-340b-contract-load-options.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37125-375a-4e65-a151-da677c02dbab" xsi:nil="true"/>
    <lcf76f155ced4ddcb4097134ff3c332f xmlns="defb2410-ab51-4223-8a06-da97ef9a2401">
      <Terms xmlns="http://schemas.microsoft.com/office/infopath/2007/PartnerControls"/>
    </lcf76f155ced4ddcb4097134ff3c332f>
    <SharedWithUsers xmlns="fec37125-375a-4e65-a151-da677c02dbab">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A8882CBF8F014AB9A78F401ABC05E3" ma:contentTypeVersion="13" ma:contentTypeDescription="Create a new document." ma:contentTypeScope="" ma:versionID="d7b7b7d09166a5e0dd94610bb7e2254a">
  <xsd:schema xmlns:xsd="http://www.w3.org/2001/XMLSchema" xmlns:xs="http://www.w3.org/2001/XMLSchema" xmlns:p="http://schemas.microsoft.com/office/2006/metadata/properties" xmlns:ns2="fec37125-375a-4e65-a151-da677c02dbab" xmlns:ns3="defb2410-ab51-4223-8a06-da97ef9a2401" targetNamespace="http://schemas.microsoft.com/office/2006/metadata/properties" ma:root="true" ma:fieldsID="68dcb02c968f75c873b7918e9bd63ce5" ns2:_="" ns3:_="">
    <xsd:import namespace="fec37125-375a-4e65-a151-da677c02dbab"/>
    <xsd:import namespace="defb2410-ab51-4223-8a06-da97ef9a2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7125-375a-4e65-a151-da677c02db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50bbc5-0954-4d44-9987-95a33ddbce4e}" ma:internalName="TaxCatchAll" ma:showField="CatchAllData" ma:web="fec37125-375a-4e65-a151-da677c02db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b2410-ab51-4223-8a06-da97ef9a2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E9936-2ACA-4D23-91F4-21FCCFE37B88}">
  <ds:schemaRefs>
    <ds:schemaRef ds:uri="http://schemas.microsoft.com/office/2006/metadata/properties"/>
    <ds:schemaRef ds:uri="http://schemas.microsoft.com/office/infopath/2007/PartnerControls"/>
    <ds:schemaRef ds:uri="fec37125-375a-4e65-a151-da677c02dbab"/>
    <ds:schemaRef ds:uri="defb2410-ab51-4223-8a06-da97ef9a2401"/>
  </ds:schemaRefs>
</ds:datastoreItem>
</file>

<file path=customXml/itemProps2.xml><?xml version="1.0" encoding="utf-8"?>
<ds:datastoreItem xmlns:ds="http://schemas.openxmlformats.org/officeDocument/2006/customXml" ds:itemID="{716B034C-3EA4-422E-9A35-F40DD0A985BA}">
  <ds:schemaRefs>
    <ds:schemaRef ds:uri="http://schemas.openxmlformats.org/officeDocument/2006/bibliography"/>
  </ds:schemaRefs>
</ds:datastoreItem>
</file>

<file path=customXml/itemProps3.xml><?xml version="1.0" encoding="utf-8"?>
<ds:datastoreItem xmlns:ds="http://schemas.openxmlformats.org/officeDocument/2006/customXml" ds:itemID="{837483E3-F246-4A95-B1EB-7D83755C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7125-375a-4e65-a151-da677c02dbab"/>
    <ds:schemaRef ds:uri="defb2410-ab51-4223-8a06-da97ef9a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394E5-A608-497A-A031-85C4CDA8C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3151</Words>
  <Characters>17682</Characters>
  <Application>Microsoft Office Word</Application>
  <DocSecurity>4</DocSecurity>
  <Lines>1768</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Johnson,Chad</dc:creator>
  <cp:keywords/>
  <dc:description/>
  <cp:lastModifiedBy>Fox,Michelle</cp:lastModifiedBy>
  <cp:revision>2</cp:revision>
  <dcterms:created xsi:type="dcterms:W3CDTF">2023-09-27T20:46:00Z</dcterms:created>
  <dcterms:modified xsi:type="dcterms:W3CDTF">2023-09-27T20:46:00Z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0x010100DCA8882CBF8F014AB9A78F401ABC05E3</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c3babbe22c8eb1701e2cecfe89f2e25dc12974eed4a2153b43c29492508ce8fa</vt:lpwstr>
  </property>
</Properties>
</file>