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010D" w14:textId="77777777" w:rsidR="00EB5476" w:rsidRPr="000D7C6E" w:rsidRDefault="00EC718F" w:rsidP="00371CAC">
      <w:pPr>
        <w:spacing w:before="60" w:after="60"/>
        <w:rPr>
          <w:rFonts w:ascii="Arial" w:eastAsia="Arial" w:hAnsi="Arial" w:cs="Arial"/>
          <w:szCs w:val="20"/>
        </w:rPr>
      </w:pPr>
      <w:r w:rsidRPr="000D7C6E">
        <w:rPr>
          <w:rFonts w:ascii="Arial" w:eastAsia="Arial" w:hAnsi="Arial" w:cs="Arial"/>
          <w:b/>
          <w:szCs w:val="20"/>
        </w:rPr>
        <w:t>Purpose:</w:t>
      </w:r>
      <w:r w:rsidRPr="000D7C6E">
        <w:rPr>
          <w:rFonts w:ascii="Arial" w:eastAsia="Arial" w:hAnsi="Arial" w:cs="Arial"/>
          <w:szCs w:val="20"/>
        </w:rPr>
        <w:t xml:space="preserve">  </w:t>
      </w:r>
      <w:r w:rsidRPr="000D7C6E">
        <w:rPr>
          <w:rFonts w:ascii="Arial" w:eastAsia="Arial" w:hAnsi="Arial" w:cs="Arial"/>
          <w:spacing w:val="-1"/>
          <w:szCs w:val="20"/>
        </w:rPr>
        <w:t>E</w:t>
      </w:r>
      <w:r w:rsidRPr="000D7C6E">
        <w:rPr>
          <w:rFonts w:ascii="Arial" w:eastAsia="Arial" w:hAnsi="Arial" w:cs="Arial"/>
          <w:szCs w:val="20"/>
        </w:rPr>
        <w:t>s</w:t>
      </w:r>
      <w:r w:rsidRPr="000D7C6E">
        <w:rPr>
          <w:rFonts w:ascii="Arial" w:eastAsia="Arial" w:hAnsi="Arial" w:cs="Arial"/>
          <w:spacing w:val="1"/>
          <w:szCs w:val="20"/>
        </w:rPr>
        <w:t>t</w:t>
      </w:r>
      <w:r w:rsidRPr="000D7C6E">
        <w:rPr>
          <w:rFonts w:ascii="Arial" w:eastAsia="Arial" w:hAnsi="Arial" w:cs="Arial"/>
          <w:szCs w:val="20"/>
        </w:rPr>
        <w:t>ab</w:t>
      </w:r>
      <w:r w:rsidRPr="000D7C6E">
        <w:rPr>
          <w:rFonts w:ascii="Arial" w:eastAsia="Arial" w:hAnsi="Arial" w:cs="Arial"/>
          <w:spacing w:val="-1"/>
          <w:szCs w:val="20"/>
        </w:rPr>
        <w:t>li</w:t>
      </w:r>
      <w:r w:rsidRPr="000D7C6E">
        <w:rPr>
          <w:rFonts w:ascii="Arial" w:eastAsia="Arial" w:hAnsi="Arial" w:cs="Arial"/>
          <w:szCs w:val="20"/>
        </w:rPr>
        <w:t>sh</w:t>
      </w:r>
      <w:r w:rsidRPr="000D7C6E">
        <w:rPr>
          <w:rFonts w:ascii="Arial" w:eastAsia="Arial" w:hAnsi="Arial" w:cs="Arial"/>
          <w:spacing w:val="-1"/>
          <w:szCs w:val="20"/>
        </w:rPr>
        <w:t>i</w:t>
      </w:r>
      <w:r w:rsidRPr="000D7C6E">
        <w:rPr>
          <w:rFonts w:ascii="Arial" w:eastAsia="Arial" w:hAnsi="Arial" w:cs="Arial"/>
          <w:szCs w:val="20"/>
        </w:rPr>
        <w:t>ng</w:t>
      </w:r>
      <w:r w:rsidRPr="000D7C6E">
        <w:rPr>
          <w:rFonts w:ascii="Arial" w:eastAsia="Arial" w:hAnsi="Arial" w:cs="Arial"/>
          <w:spacing w:val="4"/>
          <w:szCs w:val="20"/>
        </w:rPr>
        <w:t xml:space="preserve"> </w:t>
      </w:r>
      <w:r w:rsidR="00D71CDF">
        <w:rPr>
          <w:rFonts w:ascii="Arial" w:eastAsia="Arial" w:hAnsi="Arial" w:cs="Arial"/>
          <w:szCs w:val="20"/>
        </w:rPr>
        <w:t xml:space="preserve">a </w:t>
      </w:r>
      <w:r w:rsidRPr="000D7C6E">
        <w:rPr>
          <w:rFonts w:ascii="Arial" w:eastAsia="Arial" w:hAnsi="Arial" w:cs="Arial"/>
          <w:spacing w:val="3"/>
          <w:szCs w:val="20"/>
        </w:rPr>
        <w:t>non-</w:t>
      </w:r>
      <w:r w:rsidR="00AB0B79" w:rsidRPr="000D7C6E">
        <w:rPr>
          <w:rFonts w:ascii="Arial" w:eastAsia="Arial" w:hAnsi="Arial" w:cs="Arial"/>
          <w:spacing w:val="3"/>
          <w:szCs w:val="20"/>
        </w:rPr>
        <w:t>GPO</w:t>
      </w:r>
      <w:r w:rsidRPr="000D7C6E">
        <w:rPr>
          <w:rFonts w:ascii="Arial" w:eastAsia="Arial" w:hAnsi="Arial" w:cs="Arial"/>
          <w:spacing w:val="3"/>
          <w:szCs w:val="20"/>
        </w:rPr>
        <w:t>/</w:t>
      </w:r>
      <w:r w:rsidR="004F750A" w:rsidRPr="000D7C6E">
        <w:rPr>
          <w:rFonts w:ascii="Arial" w:eastAsia="Arial" w:hAnsi="Arial" w:cs="Arial"/>
          <w:szCs w:val="20"/>
        </w:rPr>
        <w:t xml:space="preserve">WAC account </w:t>
      </w:r>
      <w:r w:rsidRPr="000D7C6E">
        <w:rPr>
          <w:rFonts w:ascii="Arial" w:eastAsia="Arial" w:hAnsi="Arial" w:cs="Arial"/>
          <w:spacing w:val="-3"/>
          <w:szCs w:val="20"/>
        </w:rPr>
        <w:t>p</w:t>
      </w:r>
      <w:r w:rsidRPr="000D7C6E">
        <w:rPr>
          <w:rFonts w:ascii="Arial" w:eastAsia="Arial" w:hAnsi="Arial" w:cs="Arial"/>
          <w:spacing w:val="1"/>
          <w:szCs w:val="20"/>
        </w:rPr>
        <w:t>r</w:t>
      </w:r>
      <w:r w:rsidRPr="000D7C6E">
        <w:rPr>
          <w:rFonts w:ascii="Arial" w:eastAsia="Arial" w:hAnsi="Arial" w:cs="Arial"/>
          <w:szCs w:val="20"/>
        </w:rPr>
        <w:t>o</w:t>
      </w:r>
      <w:r w:rsidRPr="000D7C6E">
        <w:rPr>
          <w:rFonts w:ascii="Arial" w:eastAsia="Arial" w:hAnsi="Arial" w:cs="Arial"/>
          <w:spacing w:val="-2"/>
          <w:szCs w:val="20"/>
        </w:rPr>
        <w:t>v</w:t>
      </w:r>
      <w:r w:rsidRPr="000D7C6E">
        <w:rPr>
          <w:rFonts w:ascii="Arial" w:eastAsia="Arial" w:hAnsi="Arial" w:cs="Arial"/>
          <w:spacing w:val="-1"/>
          <w:szCs w:val="20"/>
        </w:rPr>
        <w:t>i</w:t>
      </w:r>
      <w:r w:rsidRPr="000D7C6E">
        <w:rPr>
          <w:rFonts w:ascii="Arial" w:eastAsia="Arial" w:hAnsi="Arial" w:cs="Arial"/>
          <w:szCs w:val="20"/>
        </w:rPr>
        <w:t>des</w:t>
      </w:r>
      <w:r w:rsidRPr="000D7C6E">
        <w:rPr>
          <w:rFonts w:ascii="Arial" w:eastAsia="Arial" w:hAnsi="Arial" w:cs="Arial"/>
          <w:spacing w:val="2"/>
          <w:szCs w:val="20"/>
        </w:rPr>
        <w:t xml:space="preserve"> </w:t>
      </w:r>
      <w:r w:rsidRPr="000D7C6E">
        <w:rPr>
          <w:rFonts w:ascii="Arial" w:eastAsia="Arial" w:hAnsi="Arial" w:cs="Arial"/>
          <w:szCs w:val="20"/>
        </w:rPr>
        <w:t>a co</w:t>
      </w:r>
      <w:r w:rsidRPr="000D7C6E">
        <w:rPr>
          <w:rFonts w:ascii="Arial" w:eastAsia="Arial" w:hAnsi="Arial" w:cs="Arial"/>
          <w:spacing w:val="1"/>
          <w:szCs w:val="20"/>
        </w:rPr>
        <w:t>m</w:t>
      </w:r>
      <w:r w:rsidRPr="000D7C6E">
        <w:rPr>
          <w:rFonts w:ascii="Arial" w:eastAsia="Arial" w:hAnsi="Arial" w:cs="Arial"/>
          <w:szCs w:val="20"/>
        </w:rPr>
        <w:t>p</w:t>
      </w:r>
      <w:r w:rsidRPr="000D7C6E">
        <w:rPr>
          <w:rFonts w:ascii="Arial" w:eastAsia="Arial" w:hAnsi="Arial" w:cs="Arial"/>
          <w:spacing w:val="-1"/>
          <w:szCs w:val="20"/>
        </w:rPr>
        <w:t>li</w:t>
      </w:r>
      <w:r w:rsidRPr="000D7C6E">
        <w:rPr>
          <w:rFonts w:ascii="Arial" w:eastAsia="Arial" w:hAnsi="Arial" w:cs="Arial"/>
          <w:szCs w:val="20"/>
        </w:rPr>
        <w:t xml:space="preserve">ant </w:t>
      </w:r>
      <w:r w:rsidR="00EB5476" w:rsidRPr="000D7C6E">
        <w:rPr>
          <w:rFonts w:ascii="Arial" w:eastAsia="Arial" w:hAnsi="Arial" w:cs="Arial"/>
          <w:szCs w:val="20"/>
        </w:rPr>
        <w:t>solution</w:t>
      </w:r>
      <w:r w:rsidRPr="000D7C6E">
        <w:rPr>
          <w:rFonts w:ascii="Arial" w:eastAsia="Arial" w:hAnsi="Arial" w:cs="Arial"/>
          <w:szCs w:val="20"/>
        </w:rPr>
        <w:t xml:space="preserve"> </w:t>
      </w:r>
      <w:r w:rsidR="00EB5476" w:rsidRPr="000D7C6E">
        <w:rPr>
          <w:rFonts w:ascii="Arial" w:eastAsia="Arial" w:hAnsi="Arial" w:cs="Arial"/>
          <w:szCs w:val="20"/>
        </w:rPr>
        <w:t>for hospitals subject to the GPO Prohibition to</w:t>
      </w:r>
      <w:r w:rsidRPr="000D7C6E">
        <w:rPr>
          <w:rFonts w:ascii="Arial" w:eastAsia="Arial" w:hAnsi="Arial" w:cs="Arial"/>
          <w:szCs w:val="20"/>
        </w:rPr>
        <w:t xml:space="preserve"> ob</w:t>
      </w:r>
      <w:r w:rsidRPr="000D7C6E">
        <w:rPr>
          <w:rFonts w:ascii="Arial" w:eastAsia="Arial" w:hAnsi="Arial" w:cs="Arial"/>
          <w:spacing w:val="-1"/>
          <w:szCs w:val="20"/>
        </w:rPr>
        <w:t>t</w:t>
      </w:r>
      <w:r w:rsidRPr="000D7C6E">
        <w:rPr>
          <w:rFonts w:ascii="Arial" w:eastAsia="Arial" w:hAnsi="Arial" w:cs="Arial"/>
          <w:szCs w:val="20"/>
        </w:rPr>
        <w:t>a</w:t>
      </w:r>
      <w:r w:rsidRPr="000D7C6E">
        <w:rPr>
          <w:rFonts w:ascii="Arial" w:eastAsia="Arial" w:hAnsi="Arial" w:cs="Arial"/>
          <w:spacing w:val="-1"/>
          <w:szCs w:val="20"/>
        </w:rPr>
        <w:t>i</w:t>
      </w:r>
      <w:r w:rsidRPr="000D7C6E">
        <w:rPr>
          <w:rFonts w:ascii="Arial" w:eastAsia="Arial" w:hAnsi="Arial" w:cs="Arial"/>
          <w:szCs w:val="20"/>
        </w:rPr>
        <w:t>n</w:t>
      </w:r>
      <w:r w:rsidRPr="000D7C6E">
        <w:rPr>
          <w:rFonts w:ascii="Arial" w:eastAsia="Arial" w:hAnsi="Arial" w:cs="Arial"/>
          <w:spacing w:val="4"/>
          <w:szCs w:val="20"/>
        </w:rPr>
        <w:t xml:space="preserve"> </w:t>
      </w:r>
      <w:r w:rsidRPr="000D7C6E">
        <w:rPr>
          <w:rFonts w:ascii="Arial" w:eastAsia="Arial" w:hAnsi="Arial" w:cs="Arial"/>
          <w:szCs w:val="20"/>
        </w:rPr>
        <w:t>co</w:t>
      </w:r>
      <w:r w:rsidRPr="000D7C6E">
        <w:rPr>
          <w:rFonts w:ascii="Arial" w:eastAsia="Arial" w:hAnsi="Arial" w:cs="Arial"/>
          <w:spacing w:val="-2"/>
          <w:szCs w:val="20"/>
        </w:rPr>
        <w:t>v</w:t>
      </w:r>
      <w:r w:rsidRPr="000D7C6E">
        <w:rPr>
          <w:rFonts w:ascii="Arial" w:eastAsia="Arial" w:hAnsi="Arial" w:cs="Arial"/>
          <w:szCs w:val="20"/>
        </w:rPr>
        <w:t>e</w:t>
      </w:r>
      <w:r w:rsidRPr="000D7C6E">
        <w:rPr>
          <w:rFonts w:ascii="Arial" w:eastAsia="Arial" w:hAnsi="Arial" w:cs="Arial"/>
          <w:spacing w:val="1"/>
          <w:szCs w:val="20"/>
        </w:rPr>
        <w:t>r</w:t>
      </w:r>
      <w:r w:rsidRPr="000D7C6E">
        <w:rPr>
          <w:rFonts w:ascii="Arial" w:eastAsia="Arial" w:hAnsi="Arial" w:cs="Arial"/>
          <w:szCs w:val="20"/>
        </w:rPr>
        <w:t>ed</w:t>
      </w:r>
      <w:r w:rsidRPr="000D7C6E">
        <w:rPr>
          <w:rFonts w:ascii="Arial" w:eastAsia="Arial" w:hAnsi="Arial" w:cs="Arial"/>
          <w:spacing w:val="1"/>
          <w:szCs w:val="20"/>
        </w:rPr>
        <w:t xml:space="preserve"> </w:t>
      </w:r>
      <w:r w:rsidRPr="000D7C6E">
        <w:rPr>
          <w:rFonts w:ascii="Arial" w:eastAsia="Arial" w:hAnsi="Arial" w:cs="Arial"/>
          <w:szCs w:val="20"/>
        </w:rPr>
        <w:t>o</w:t>
      </w:r>
      <w:r w:rsidRPr="000D7C6E">
        <w:rPr>
          <w:rFonts w:ascii="Arial" w:eastAsia="Arial" w:hAnsi="Arial" w:cs="Arial"/>
          <w:spacing w:val="-3"/>
          <w:szCs w:val="20"/>
        </w:rPr>
        <w:t>u</w:t>
      </w:r>
      <w:r w:rsidRPr="000D7C6E">
        <w:rPr>
          <w:rFonts w:ascii="Arial" w:eastAsia="Arial" w:hAnsi="Arial" w:cs="Arial"/>
          <w:spacing w:val="1"/>
          <w:szCs w:val="20"/>
        </w:rPr>
        <w:t>t</w:t>
      </w:r>
      <w:r w:rsidRPr="000D7C6E">
        <w:rPr>
          <w:rFonts w:ascii="Arial" w:eastAsia="Arial" w:hAnsi="Arial" w:cs="Arial"/>
          <w:szCs w:val="20"/>
        </w:rPr>
        <w:t>pa</w:t>
      </w:r>
      <w:r w:rsidRPr="000D7C6E">
        <w:rPr>
          <w:rFonts w:ascii="Arial" w:eastAsia="Arial" w:hAnsi="Arial" w:cs="Arial"/>
          <w:spacing w:val="1"/>
          <w:szCs w:val="20"/>
        </w:rPr>
        <w:t>t</w:t>
      </w:r>
      <w:r w:rsidRPr="000D7C6E">
        <w:rPr>
          <w:rFonts w:ascii="Arial" w:eastAsia="Arial" w:hAnsi="Arial" w:cs="Arial"/>
          <w:spacing w:val="-1"/>
          <w:szCs w:val="20"/>
        </w:rPr>
        <w:t>i</w:t>
      </w:r>
      <w:r w:rsidRPr="000D7C6E">
        <w:rPr>
          <w:rFonts w:ascii="Arial" w:eastAsia="Arial" w:hAnsi="Arial" w:cs="Arial"/>
          <w:szCs w:val="20"/>
        </w:rPr>
        <w:t>e</w:t>
      </w:r>
      <w:r w:rsidRPr="000D7C6E">
        <w:rPr>
          <w:rFonts w:ascii="Arial" w:eastAsia="Arial" w:hAnsi="Arial" w:cs="Arial"/>
          <w:spacing w:val="-3"/>
          <w:szCs w:val="20"/>
        </w:rPr>
        <w:t>n</w:t>
      </w:r>
      <w:r w:rsidRPr="000D7C6E">
        <w:rPr>
          <w:rFonts w:ascii="Arial" w:eastAsia="Arial" w:hAnsi="Arial" w:cs="Arial"/>
          <w:szCs w:val="20"/>
        </w:rPr>
        <w:t>t</w:t>
      </w:r>
      <w:r w:rsidRPr="000D7C6E">
        <w:rPr>
          <w:rFonts w:ascii="Arial" w:eastAsia="Arial" w:hAnsi="Arial" w:cs="Arial"/>
          <w:spacing w:val="3"/>
          <w:szCs w:val="20"/>
        </w:rPr>
        <w:t xml:space="preserve"> </w:t>
      </w:r>
      <w:r w:rsidRPr="000D7C6E">
        <w:rPr>
          <w:rFonts w:ascii="Arial" w:eastAsia="Arial" w:hAnsi="Arial" w:cs="Arial"/>
          <w:spacing w:val="-3"/>
          <w:szCs w:val="20"/>
        </w:rPr>
        <w:t>d</w:t>
      </w:r>
      <w:r w:rsidRPr="000D7C6E">
        <w:rPr>
          <w:rFonts w:ascii="Arial" w:eastAsia="Arial" w:hAnsi="Arial" w:cs="Arial"/>
          <w:spacing w:val="1"/>
          <w:szCs w:val="20"/>
        </w:rPr>
        <w:t>r</w:t>
      </w:r>
      <w:r w:rsidRPr="000D7C6E">
        <w:rPr>
          <w:rFonts w:ascii="Arial" w:eastAsia="Arial" w:hAnsi="Arial" w:cs="Arial"/>
          <w:spacing w:val="-3"/>
          <w:szCs w:val="20"/>
        </w:rPr>
        <w:t>u</w:t>
      </w:r>
      <w:r w:rsidRPr="000D7C6E">
        <w:rPr>
          <w:rFonts w:ascii="Arial" w:eastAsia="Arial" w:hAnsi="Arial" w:cs="Arial"/>
          <w:spacing w:val="2"/>
          <w:szCs w:val="20"/>
        </w:rPr>
        <w:t>g</w:t>
      </w:r>
      <w:r w:rsidRPr="000D7C6E">
        <w:rPr>
          <w:rFonts w:ascii="Arial" w:eastAsia="Arial" w:hAnsi="Arial" w:cs="Arial"/>
          <w:szCs w:val="20"/>
        </w:rPr>
        <w:t>s</w:t>
      </w:r>
      <w:r w:rsidRPr="000D7C6E">
        <w:rPr>
          <w:rFonts w:ascii="Arial" w:eastAsia="Arial" w:hAnsi="Arial" w:cs="Arial"/>
          <w:spacing w:val="-1"/>
          <w:szCs w:val="20"/>
        </w:rPr>
        <w:t xml:space="preserve"> </w:t>
      </w:r>
      <w:r w:rsidRPr="000D7C6E">
        <w:rPr>
          <w:rFonts w:ascii="Arial" w:eastAsia="Arial" w:hAnsi="Arial" w:cs="Arial"/>
          <w:spacing w:val="1"/>
          <w:szCs w:val="20"/>
        </w:rPr>
        <w:t>f</w:t>
      </w:r>
      <w:r w:rsidRPr="000D7C6E">
        <w:rPr>
          <w:rFonts w:ascii="Arial" w:eastAsia="Arial" w:hAnsi="Arial" w:cs="Arial"/>
          <w:szCs w:val="20"/>
        </w:rPr>
        <w:t xml:space="preserve">or </w:t>
      </w:r>
      <w:proofErr w:type="gramStart"/>
      <w:r w:rsidR="00EB5476" w:rsidRPr="000D7C6E">
        <w:rPr>
          <w:rFonts w:ascii="Arial" w:eastAsia="Arial" w:hAnsi="Arial" w:cs="Arial"/>
          <w:szCs w:val="20"/>
        </w:rPr>
        <w:t>patients</w:t>
      </w:r>
      <w:proofErr w:type="gramEnd"/>
      <w:r w:rsidR="00EB5476" w:rsidRPr="000D7C6E">
        <w:rPr>
          <w:rFonts w:ascii="Arial" w:eastAsia="Arial" w:hAnsi="Arial" w:cs="Arial"/>
          <w:szCs w:val="20"/>
        </w:rPr>
        <w:t xml:space="preserve"> </w:t>
      </w:r>
      <w:r w:rsidR="00AB0B79" w:rsidRPr="000D7C6E">
        <w:rPr>
          <w:rFonts w:ascii="Arial" w:eastAsia="Arial" w:hAnsi="Arial" w:cs="Arial"/>
          <w:szCs w:val="20"/>
        </w:rPr>
        <w:t>in</w:t>
      </w:r>
      <w:r w:rsidRPr="000D7C6E">
        <w:rPr>
          <w:rFonts w:ascii="Arial" w:eastAsia="Arial" w:hAnsi="Arial" w:cs="Arial"/>
          <w:szCs w:val="20"/>
        </w:rPr>
        <w:t xml:space="preserve">eligible </w:t>
      </w:r>
      <w:r w:rsidR="00EB5476" w:rsidRPr="000D7C6E">
        <w:rPr>
          <w:rFonts w:ascii="Arial" w:eastAsia="Arial" w:hAnsi="Arial" w:cs="Arial"/>
          <w:szCs w:val="20"/>
        </w:rPr>
        <w:t xml:space="preserve">for </w:t>
      </w:r>
      <w:r w:rsidRPr="000D7C6E">
        <w:rPr>
          <w:rFonts w:ascii="Arial" w:eastAsia="Arial" w:hAnsi="Arial" w:cs="Arial"/>
          <w:szCs w:val="20"/>
        </w:rPr>
        <w:t>340B</w:t>
      </w:r>
      <w:r w:rsidR="00B06FCC" w:rsidRPr="000D7C6E">
        <w:rPr>
          <w:rFonts w:ascii="Arial" w:eastAsia="Arial" w:hAnsi="Arial" w:cs="Arial"/>
          <w:szCs w:val="20"/>
        </w:rPr>
        <w:t xml:space="preserve"> drugs</w:t>
      </w:r>
      <w:r w:rsidRPr="000D7C6E">
        <w:rPr>
          <w:rFonts w:ascii="Arial" w:eastAsia="Arial" w:hAnsi="Arial" w:cs="Arial"/>
          <w:szCs w:val="20"/>
        </w:rPr>
        <w:t xml:space="preserve">. </w:t>
      </w:r>
      <w:r w:rsidR="00674AAC" w:rsidRPr="000D7C6E">
        <w:rPr>
          <w:rFonts w:ascii="Arial" w:eastAsia="Arial" w:hAnsi="Arial" w:cs="Arial"/>
          <w:spacing w:val="-1"/>
          <w:szCs w:val="20"/>
        </w:rPr>
        <w:t xml:space="preserve">For example, </w:t>
      </w:r>
      <w:r w:rsidR="000D7C6E">
        <w:rPr>
          <w:rFonts w:ascii="Arial" w:eastAsia="Arial" w:hAnsi="Arial" w:cs="Arial"/>
          <w:spacing w:val="-1"/>
          <w:szCs w:val="20"/>
        </w:rPr>
        <w:t>n</w:t>
      </w:r>
      <w:r w:rsidR="00AB0B79" w:rsidRPr="000D7C6E">
        <w:rPr>
          <w:rFonts w:ascii="Arial" w:eastAsia="Arial" w:hAnsi="Arial" w:cs="Arial"/>
          <w:spacing w:val="-1"/>
          <w:szCs w:val="20"/>
        </w:rPr>
        <w:t xml:space="preserve">on-GPO/WAC accounts </w:t>
      </w:r>
      <w:r w:rsidR="000D7C6E">
        <w:rPr>
          <w:rFonts w:ascii="Arial" w:eastAsia="Arial" w:hAnsi="Arial" w:cs="Arial"/>
          <w:spacing w:val="-1"/>
          <w:szCs w:val="20"/>
        </w:rPr>
        <w:t xml:space="preserve">may be </w:t>
      </w:r>
      <w:r w:rsidR="00AB0B79" w:rsidRPr="000D7C6E">
        <w:rPr>
          <w:rFonts w:ascii="Arial" w:eastAsia="Arial" w:hAnsi="Arial" w:cs="Arial"/>
          <w:spacing w:val="-1"/>
          <w:szCs w:val="20"/>
        </w:rPr>
        <w:t>used</w:t>
      </w:r>
      <w:r w:rsidR="00AB0B79" w:rsidRPr="000D7C6E">
        <w:rPr>
          <w:rFonts w:ascii="Arial" w:eastAsia="Arial" w:hAnsi="Arial" w:cs="Arial"/>
          <w:szCs w:val="20"/>
        </w:rPr>
        <w:t xml:space="preserve"> for Medicaid</w:t>
      </w:r>
      <w:r w:rsidRPr="000D7C6E">
        <w:rPr>
          <w:rFonts w:ascii="Arial" w:eastAsia="Arial" w:hAnsi="Arial" w:cs="Arial"/>
          <w:spacing w:val="-1"/>
          <w:szCs w:val="20"/>
        </w:rPr>
        <w:t xml:space="preserve"> </w:t>
      </w:r>
      <w:r w:rsidRPr="000D7C6E">
        <w:rPr>
          <w:rFonts w:ascii="Arial" w:eastAsia="Arial" w:hAnsi="Arial" w:cs="Arial"/>
          <w:szCs w:val="20"/>
        </w:rPr>
        <w:t>ca</w:t>
      </w:r>
      <w:r w:rsidRPr="000D7C6E">
        <w:rPr>
          <w:rFonts w:ascii="Arial" w:eastAsia="Arial" w:hAnsi="Arial" w:cs="Arial"/>
          <w:spacing w:val="1"/>
          <w:szCs w:val="20"/>
        </w:rPr>
        <w:t>r</w:t>
      </w:r>
      <w:r w:rsidRPr="000D7C6E">
        <w:rPr>
          <w:rFonts w:ascii="Arial" w:eastAsia="Arial" w:hAnsi="Arial" w:cs="Arial"/>
          <w:spacing w:val="-2"/>
          <w:szCs w:val="20"/>
        </w:rPr>
        <w:t>v</w:t>
      </w:r>
      <w:r w:rsidRPr="000D7C6E">
        <w:rPr>
          <w:rFonts w:ascii="Arial" w:eastAsia="Arial" w:hAnsi="Arial" w:cs="Arial"/>
          <w:szCs w:val="20"/>
        </w:rPr>
        <w:t>e</w:t>
      </w:r>
      <w:r w:rsidR="00AB0B79" w:rsidRPr="000D7C6E">
        <w:rPr>
          <w:rFonts w:ascii="Arial" w:eastAsia="Arial" w:hAnsi="Arial" w:cs="Arial"/>
          <w:spacing w:val="1"/>
          <w:szCs w:val="20"/>
        </w:rPr>
        <w:t>-</w:t>
      </w:r>
      <w:r w:rsidRPr="000D7C6E">
        <w:rPr>
          <w:rFonts w:ascii="Arial" w:eastAsia="Arial" w:hAnsi="Arial" w:cs="Arial"/>
          <w:szCs w:val="20"/>
        </w:rPr>
        <w:t>o</w:t>
      </w:r>
      <w:r w:rsidRPr="000D7C6E">
        <w:rPr>
          <w:rFonts w:ascii="Arial" w:eastAsia="Arial" w:hAnsi="Arial" w:cs="Arial"/>
          <w:spacing w:val="-3"/>
          <w:szCs w:val="20"/>
        </w:rPr>
        <w:t>u</w:t>
      </w:r>
      <w:r w:rsidRPr="000D7C6E">
        <w:rPr>
          <w:rFonts w:ascii="Arial" w:eastAsia="Arial" w:hAnsi="Arial" w:cs="Arial"/>
          <w:szCs w:val="20"/>
        </w:rPr>
        <w:t>t</w:t>
      </w:r>
      <w:r w:rsidRPr="000D7C6E">
        <w:rPr>
          <w:rFonts w:ascii="Arial" w:eastAsia="Arial" w:hAnsi="Arial" w:cs="Arial"/>
          <w:spacing w:val="3"/>
          <w:szCs w:val="20"/>
        </w:rPr>
        <w:t xml:space="preserve"> </w:t>
      </w:r>
      <w:r w:rsidR="000D7C6E">
        <w:rPr>
          <w:rFonts w:ascii="Arial" w:eastAsia="Arial" w:hAnsi="Arial" w:cs="Arial"/>
          <w:spacing w:val="3"/>
          <w:szCs w:val="20"/>
        </w:rPr>
        <w:t xml:space="preserve">patients or </w:t>
      </w:r>
      <w:r w:rsidR="00D71CDF">
        <w:rPr>
          <w:rFonts w:ascii="Arial" w:eastAsia="Arial" w:hAnsi="Arial" w:cs="Arial"/>
          <w:spacing w:val="3"/>
          <w:szCs w:val="20"/>
        </w:rPr>
        <w:t xml:space="preserve">mixed-use </w:t>
      </w:r>
      <w:r w:rsidR="00AB0B79" w:rsidRPr="000D7C6E">
        <w:rPr>
          <w:rFonts w:ascii="Arial" w:eastAsia="Arial" w:hAnsi="Arial" w:cs="Arial"/>
          <w:spacing w:val="2"/>
          <w:szCs w:val="20"/>
        </w:rPr>
        <w:t xml:space="preserve">areas using </w:t>
      </w:r>
      <w:r w:rsidR="00B06FCC" w:rsidRPr="000D7C6E">
        <w:rPr>
          <w:rFonts w:ascii="Arial" w:eastAsia="Arial" w:hAnsi="Arial" w:cs="Arial"/>
          <w:spacing w:val="2"/>
          <w:szCs w:val="20"/>
        </w:rPr>
        <w:t>neutral</w:t>
      </w:r>
      <w:r w:rsidR="00AB0B79" w:rsidRPr="000D7C6E">
        <w:rPr>
          <w:rFonts w:ascii="Arial" w:eastAsia="Arial" w:hAnsi="Arial" w:cs="Arial"/>
          <w:spacing w:val="2"/>
          <w:szCs w:val="20"/>
        </w:rPr>
        <w:t xml:space="preserve"> inventory.</w:t>
      </w:r>
      <w:r w:rsidR="00EB5476" w:rsidRPr="000D7C6E">
        <w:rPr>
          <w:rFonts w:ascii="Arial" w:eastAsia="Arial" w:hAnsi="Arial" w:cs="Arial"/>
          <w:szCs w:val="20"/>
        </w:rPr>
        <w:t xml:space="preserve"> </w:t>
      </w:r>
    </w:p>
    <w:p w14:paraId="06F098C1" w14:textId="064FC0FA" w:rsidR="00DE6E2E" w:rsidRPr="000D7C6E" w:rsidRDefault="00EC718F" w:rsidP="00371CAC">
      <w:pPr>
        <w:spacing w:beforeLines="60" w:before="144" w:afterLines="60" w:after="144"/>
        <w:rPr>
          <w:rFonts w:ascii="Arial" w:hAnsi="Arial" w:cs="Arial"/>
          <w:b/>
          <w:szCs w:val="20"/>
        </w:rPr>
      </w:pPr>
      <w:r w:rsidRPr="000D7C6E">
        <w:rPr>
          <w:rFonts w:ascii="Arial" w:eastAsia="Arial" w:hAnsi="Arial" w:cs="Arial"/>
          <w:szCs w:val="20"/>
        </w:rPr>
        <w:t xml:space="preserve">This tool describes types of pricing contracts available to 340B hospital </w:t>
      </w:r>
      <w:proofErr w:type="gramStart"/>
      <w:r w:rsidRPr="000D7C6E">
        <w:rPr>
          <w:rFonts w:ascii="Arial" w:eastAsia="Arial" w:hAnsi="Arial" w:cs="Arial"/>
          <w:szCs w:val="20"/>
        </w:rPr>
        <w:t>entities</w:t>
      </w:r>
      <w:r w:rsidR="00E306AA" w:rsidRPr="000D7C6E">
        <w:rPr>
          <w:rFonts w:ascii="Arial" w:eastAsia="Arial" w:hAnsi="Arial" w:cs="Arial"/>
          <w:szCs w:val="20"/>
        </w:rPr>
        <w:t>,</w:t>
      </w:r>
      <w:r w:rsidRPr="000D7C6E">
        <w:rPr>
          <w:rFonts w:ascii="Arial" w:eastAsia="Arial" w:hAnsi="Arial" w:cs="Arial"/>
          <w:szCs w:val="20"/>
        </w:rPr>
        <w:t xml:space="preserve"> and</w:t>
      </w:r>
      <w:proofErr w:type="gramEnd"/>
      <w:r w:rsidRPr="000D7C6E">
        <w:rPr>
          <w:rFonts w:ascii="Arial" w:eastAsia="Arial" w:hAnsi="Arial" w:cs="Arial"/>
          <w:szCs w:val="20"/>
        </w:rPr>
        <w:t xml:space="preserve"> </w:t>
      </w:r>
      <w:r w:rsidR="00F67966" w:rsidRPr="000D7C6E">
        <w:rPr>
          <w:rFonts w:ascii="Arial" w:eastAsia="Arial" w:hAnsi="Arial" w:cs="Arial"/>
          <w:szCs w:val="20"/>
        </w:rPr>
        <w:t xml:space="preserve">illustrates </w:t>
      </w:r>
      <w:r w:rsidRPr="000D7C6E">
        <w:rPr>
          <w:rFonts w:ascii="Arial" w:eastAsia="Arial" w:hAnsi="Arial" w:cs="Arial"/>
          <w:szCs w:val="20"/>
        </w:rPr>
        <w:t xml:space="preserve">which contracts </w:t>
      </w:r>
      <w:r w:rsidR="006F7321" w:rsidRPr="000D7C6E">
        <w:rPr>
          <w:rFonts w:ascii="Arial" w:eastAsia="Arial" w:hAnsi="Arial" w:cs="Arial"/>
          <w:szCs w:val="20"/>
        </w:rPr>
        <w:t xml:space="preserve">may </w:t>
      </w:r>
      <w:r w:rsidRPr="000D7C6E">
        <w:rPr>
          <w:rFonts w:ascii="Arial" w:eastAsia="Arial" w:hAnsi="Arial" w:cs="Arial"/>
          <w:szCs w:val="20"/>
        </w:rPr>
        <w:t xml:space="preserve">be loaded into </w:t>
      </w:r>
      <w:r w:rsidR="00EB5476" w:rsidRPr="000D7C6E">
        <w:rPr>
          <w:rFonts w:ascii="Arial" w:eastAsia="Arial" w:hAnsi="Arial" w:cs="Arial"/>
          <w:szCs w:val="20"/>
        </w:rPr>
        <w:t xml:space="preserve">the respective </w:t>
      </w:r>
      <w:r w:rsidRPr="000D7C6E">
        <w:rPr>
          <w:rFonts w:ascii="Arial" w:eastAsia="Arial" w:hAnsi="Arial" w:cs="Arial"/>
          <w:szCs w:val="20"/>
        </w:rPr>
        <w:t>purchasing account (340B/PHS vs</w:t>
      </w:r>
      <w:r w:rsidR="00EB5476" w:rsidRPr="000D7C6E">
        <w:rPr>
          <w:rFonts w:ascii="Arial" w:eastAsia="Arial" w:hAnsi="Arial" w:cs="Arial"/>
          <w:szCs w:val="20"/>
        </w:rPr>
        <w:t>.</w:t>
      </w:r>
      <w:r w:rsidRPr="000D7C6E">
        <w:rPr>
          <w:rFonts w:ascii="Arial" w:eastAsia="Arial" w:hAnsi="Arial" w:cs="Arial"/>
          <w:szCs w:val="20"/>
        </w:rPr>
        <w:t xml:space="preserve"> non-</w:t>
      </w:r>
      <w:r w:rsidR="00EB5476" w:rsidRPr="000D7C6E">
        <w:rPr>
          <w:rFonts w:ascii="Arial" w:eastAsia="Arial" w:hAnsi="Arial" w:cs="Arial"/>
          <w:szCs w:val="20"/>
        </w:rPr>
        <w:t>GPO</w:t>
      </w:r>
      <w:r w:rsidRPr="000D7C6E">
        <w:rPr>
          <w:rFonts w:ascii="Arial" w:eastAsia="Arial" w:hAnsi="Arial" w:cs="Arial"/>
          <w:szCs w:val="20"/>
        </w:rPr>
        <w:t>/</w:t>
      </w:r>
      <w:r w:rsidR="004F750A" w:rsidRPr="000D7C6E">
        <w:rPr>
          <w:rFonts w:ascii="Arial" w:eastAsia="Arial" w:hAnsi="Arial" w:cs="Arial"/>
          <w:szCs w:val="20"/>
        </w:rPr>
        <w:t>WAC</w:t>
      </w:r>
      <w:r w:rsidRPr="000D7C6E">
        <w:rPr>
          <w:rFonts w:ascii="Arial" w:eastAsia="Arial" w:hAnsi="Arial" w:cs="Arial"/>
          <w:szCs w:val="20"/>
        </w:rPr>
        <w:t>)</w:t>
      </w:r>
      <w:r w:rsidR="006F7321" w:rsidRPr="000D7C6E">
        <w:rPr>
          <w:rFonts w:ascii="Arial" w:eastAsia="Arial" w:hAnsi="Arial" w:cs="Arial"/>
          <w:szCs w:val="20"/>
        </w:rPr>
        <w:t>.</w:t>
      </w:r>
      <w:r w:rsidR="0092463B">
        <w:rPr>
          <w:rFonts w:ascii="Arial" w:eastAsia="Arial" w:hAnsi="Arial" w:cs="Arial"/>
          <w:szCs w:val="20"/>
        </w:rPr>
        <w:t xml:space="preserve"> </w:t>
      </w:r>
      <w:r w:rsidR="00DE6E2E" w:rsidRPr="00F07CB4">
        <w:rPr>
          <w:rFonts w:ascii="Arial" w:hAnsi="Arial" w:cs="Arial"/>
          <w:color w:val="222222"/>
          <w:szCs w:val="18"/>
        </w:rPr>
        <w:t>All contract pricing extended to covered entities under the 340B Prime Vendor</w:t>
      </w:r>
      <w:r w:rsidR="00CB0BD7">
        <w:rPr>
          <w:rFonts w:ascii="Arial" w:hAnsi="Arial" w:cs="Arial"/>
          <w:color w:val="222222"/>
          <w:szCs w:val="18"/>
        </w:rPr>
        <w:t>, managed by Apexus,</w:t>
      </w:r>
      <w:r w:rsidR="00DE6E2E" w:rsidRPr="00F07CB4">
        <w:rPr>
          <w:rFonts w:ascii="Arial" w:hAnsi="Arial" w:cs="Arial"/>
          <w:color w:val="222222"/>
          <w:szCs w:val="18"/>
        </w:rPr>
        <w:t xml:space="preserve"> provides manufacturers full price protections, and provides contracting infrastructure to support covered entity compliance with the GPO Prohibition.</w:t>
      </w:r>
    </w:p>
    <w:tbl>
      <w:tblPr>
        <w:tblStyle w:val="GridTable4-Accent1"/>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5603"/>
        <w:gridCol w:w="1212"/>
        <w:gridCol w:w="1213"/>
      </w:tblGrid>
      <w:tr w:rsidR="00EC718F" w:rsidRPr="0092463B" w14:paraId="465DED16" w14:textId="77777777" w:rsidTr="00F07CB4">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677" w:type="dxa"/>
            <w:shd w:val="clear" w:color="auto" w:fill="002060"/>
            <w:vAlign w:val="center"/>
          </w:tcPr>
          <w:p w14:paraId="5720D185" w14:textId="77777777" w:rsidR="00EC718F" w:rsidRPr="0092463B" w:rsidRDefault="00EC718F" w:rsidP="00E306AA">
            <w:pPr>
              <w:spacing w:beforeLines="20" w:before="48" w:afterLines="20" w:after="48"/>
              <w:jc w:val="center"/>
              <w:rPr>
                <w:rFonts w:ascii="Arial" w:hAnsi="Arial" w:cs="Arial"/>
                <w:sz w:val="20"/>
                <w:szCs w:val="20"/>
              </w:rPr>
            </w:pPr>
            <w:r w:rsidRPr="0092463B">
              <w:rPr>
                <w:rFonts w:ascii="Arial" w:hAnsi="Arial" w:cs="Arial"/>
                <w:sz w:val="20"/>
                <w:szCs w:val="20"/>
              </w:rPr>
              <w:t>Contract Name</w:t>
            </w:r>
          </w:p>
        </w:tc>
        <w:tc>
          <w:tcPr>
            <w:tcW w:w="5603" w:type="dxa"/>
            <w:shd w:val="clear" w:color="auto" w:fill="002060"/>
            <w:vAlign w:val="center"/>
          </w:tcPr>
          <w:p w14:paraId="2112B801" w14:textId="77777777" w:rsidR="00EC718F" w:rsidRPr="0092463B" w:rsidRDefault="00EC718F" w:rsidP="00E306AA">
            <w:pPr>
              <w:spacing w:beforeLines="20" w:before="48" w:afterLines="20" w:after="48"/>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Description</w:t>
            </w:r>
          </w:p>
        </w:tc>
        <w:tc>
          <w:tcPr>
            <w:tcW w:w="1212" w:type="dxa"/>
            <w:shd w:val="clear" w:color="auto" w:fill="002060"/>
            <w:vAlign w:val="center"/>
          </w:tcPr>
          <w:p w14:paraId="6629CC49" w14:textId="77777777" w:rsidR="00EC718F" w:rsidRPr="0092463B" w:rsidRDefault="00EC718F" w:rsidP="00E306AA">
            <w:pPr>
              <w:spacing w:beforeLines="20" w:before="48" w:afterLines="20" w:after="48"/>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340B Account</w:t>
            </w:r>
          </w:p>
        </w:tc>
        <w:tc>
          <w:tcPr>
            <w:tcW w:w="1213" w:type="dxa"/>
            <w:shd w:val="clear" w:color="auto" w:fill="002060"/>
            <w:vAlign w:val="center"/>
          </w:tcPr>
          <w:p w14:paraId="6C8F091F" w14:textId="77777777" w:rsidR="00EC718F" w:rsidRPr="0092463B" w:rsidRDefault="004F750A" w:rsidP="00E306AA">
            <w:pPr>
              <w:spacing w:beforeLines="20" w:before="48" w:afterLines="20" w:after="48"/>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Non-</w:t>
            </w:r>
            <w:r w:rsidR="00EB5476" w:rsidRPr="0092463B">
              <w:rPr>
                <w:rFonts w:ascii="Arial" w:hAnsi="Arial" w:cs="Arial"/>
                <w:sz w:val="20"/>
                <w:szCs w:val="20"/>
              </w:rPr>
              <w:t>GPO</w:t>
            </w:r>
            <w:r w:rsidRPr="0092463B">
              <w:rPr>
                <w:rFonts w:ascii="Arial" w:hAnsi="Arial" w:cs="Arial"/>
                <w:sz w:val="20"/>
                <w:szCs w:val="20"/>
              </w:rPr>
              <w:t>/ WAC</w:t>
            </w:r>
            <w:r w:rsidR="00EC718F" w:rsidRPr="0092463B">
              <w:rPr>
                <w:rFonts w:ascii="Arial" w:hAnsi="Arial" w:cs="Arial"/>
                <w:sz w:val="20"/>
                <w:szCs w:val="20"/>
              </w:rPr>
              <w:t xml:space="preserve"> Account</w:t>
            </w:r>
          </w:p>
        </w:tc>
      </w:tr>
      <w:tr w:rsidR="00EC718F" w:rsidRPr="0092463B" w14:paraId="019C3DA4" w14:textId="77777777" w:rsidTr="00F07CB4">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677" w:type="dxa"/>
            <w:shd w:val="clear" w:color="auto" w:fill="auto"/>
            <w:vAlign w:val="center"/>
          </w:tcPr>
          <w:p w14:paraId="1C5D4487" w14:textId="77777777" w:rsidR="00EC718F" w:rsidRPr="0092463B" w:rsidRDefault="00EC718F" w:rsidP="00E306AA">
            <w:pPr>
              <w:spacing w:beforeLines="20" w:before="48" w:afterLines="20" w:after="48"/>
              <w:jc w:val="center"/>
              <w:rPr>
                <w:rFonts w:ascii="Arial" w:hAnsi="Arial" w:cs="Arial"/>
                <w:b w:val="0"/>
                <w:sz w:val="20"/>
                <w:szCs w:val="20"/>
              </w:rPr>
            </w:pPr>
            <w:r w:rsidRPr="0092463B">
              <w:rPr>
                <w:rFonts w:ascii="Arial" w:hAnsi="Arial" w:cs="Arial"/>
                <w:sz w:val="20"/>
                <w:szCs w:val="20"/>
              </w:rPr>
              <w:t>340B/Public Health Service (PHS)</w:t>
            </w:r>
          </w:p>
        </w:tc>
        <w:tc>
          <w:tcPr>
            <w:tcW w:w="5603" w:type="dxa"/>
            <w:shd w:val="clear" w:color="auto" w:fill="auto"/>
            <w:vAlign w:val="center"/>
          </w:tcPr>
          <w:p w14:paraId="411AB939" w14:textId="51232B5A" w:rsidR="00EC718F" w:rsidRPr="0092463B" w:rsidRDefault="00EC718F" w:rsidP="00E306A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463B">
              <w:rPr>
                <w:rFonts w:ascii="Arial" w:hAnsi="Arial" w:cs="Arial"/>
                <w:sz w:val="20"/>
                <w:szCs w:val="20"/>
              </w:rPr>
              <w:t>Manufacturer</w:t>
            </w:r>
            <w:r w:rsidR="00F20EDE">
              <w:rPr>
                <w:rFonts w:ascii="Arial" w:hAnsi="Arial" w:cs="Arial"/>
                <w:sz w:val="20"/>
                <w:szCs w:val="20"/>
              </w:rPr>
              <w:t>-</w:t>
            </w:r>
            <w:r w:rsidRPr="0092463B">
              <w:rPr>
                <w:rFonts w:ascii="Arial" w:hAnsi="Arial" w:cs="Arial"/>
                <w:sz w:val="20"/>
                <w:szCs w:val="20"/>
              </w:rPr>
              <w:t>calculate</w:t>
            </w:r>
            <w:r w:rsidR="00F20EDE">
              <w:rPr>
                <w:rFonts w:ascii="Arial" w:hAnsi="Arial" w:cs="Arial"/>
                <w:sz w:val="20"/>
                <w:szCs w:val="20"/>
              </w:rPr>
              <w:t>d</w:t>
            </w:r>
            <w:r w:rsidRPr="0092463B">
              <w:rPr>
                <w:rFonts w:ascii="Arial" w:hAnsi="Arial" w:cs="Arial"/>
                <w:sz w:val="20"/>
                <w:szCs w:val="20"/>
              </w:rPr>
              <w:t xml:space="preserve"> pric</w:t>
            </w:r>
            <w:r w:rsidR="00F20EDE">
              <w:rPr>
                <w:rFonts w:ascii="Arial" w:hAnsi="Arial" w:cs="Arial"/>
                <w:sz w:val="20"/>
                <w:szCs w:val="20"/>
              </w:rPr>
              <w:t>e</w:t>
            </w:r>
            <w:r w:rsidRPr="0092463B">
              <w:rPr>
                <w:rFonts w:ascii="Arial" w:hAnsi="Arial" w:cs="Arial"/>
                <w:sz w:val="20"/>
                <w:szCs w:val="20"/>
              </w:rPr>
              <w:t xml:space="preserve"> for 340B covered outpatient drugs according to the 340B statutory formula</w:t>
            </w:r>
            <w:r w:rsidR="00713A0D" w:rsidRPr="0092463B">
              <w:rPr>
                <w:rFonts w:ascii="Arial" w:hAnsi="Arial" w:cs="Arial"/>
                <w:sz w:val="20"/>
                <w:szCs w:val="20"/>
              </w:rPr>
              <w:t>.</w:t>
            </w:r>
          </w:p>
        </w:tc>
        <w:tc>
          <w:tcPr>
            <w:tcW w:w="1212" w:type="dxa"/>
            <w:shd w:val="clear" w:color="auto" w:fill="auto"/>
            <w:vAlign w:val="center"/>
          </w:tcPr>
          <w:p w14:paraId="394092CE" w14:textId="77777777" w:rsidR="00EC718F" w:rsidRPr="0092463B"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c>
          <w:tcPr>
            <w:tcW w:w="1213" w:type="dxa"/>
            <w:shd w:val="clear" w:color="auto" w:fill="auto"/>
            <w:vAlign w:val="center"/>
          </w:tcPr>
          <w:p w14:paraId="7D4CAD2B" w14:textId="77777777" w:rsidR="00EC718F" w:rsidRPr="00F07CB4"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07CB4">
              <w:rPr>
                <w:rFonts w:ascii="Arial" w:hAnsi="Arial" w:cs="Arial"/>
                <w:sz w:val="20"/>
                <w:szCs w:val="20"/>
              </w:rPr>
              <w:t>No</w:t>
            </w:r>
          </w:p>
        </w:tc>
      </w:tr>
      <w:tr w:rsidR="00EC718F" w:rsidRPr="0092463B" w14:paraId="38D24F74" w14:textId="77777777" w:rsidTr="00F07CB4">
        <w:trPr>
          <w:trHeight w:val="406"/>
        </w:trPr>
        <w:tc>
          <w:tcPr>
            <w:cnfStyle w:val="001000000000" w:firstRow="0" w:lastRow="0" w:firstColumn="1" w:lastColumn="0" w:oddVBand="0" w:evenVBand="0" w:oddHBand="0" w:evenHBand="0" w:firstRowFirstColumn="0" w:firstRowLastColumn="0" w:lastRowFirstColumn="0" w:lastRowLastColumn="0"/>
            <w:tcW w:w="2677" w:type="dxa"/>
            <w:shd w:val="clear" w:color="auto" w:fill="auto"/>
            <w:vAlign w:val="center"/>
          </w:tcPr>
          <w:p w14:paraId="61F56929" w14:textId="3CAAE86C" w:rsidR="00EC718F" w:rsidRPr="0092463B" w:rsidRDefault="00EC718F" w:rsidP="00E306AA">
            <w:pPr>
              <w:spacing w:beforeLines="20" w:before="48" w:afterLines="20" w:after="48"/>
              <w:jc w:val="center"/>
              <w:rPr>
                <w:rFonts w:ascii="Arial" w:hAnsi="Arial" w:cs="Arial"/>
                <w:b w:val="0"/>
                <w:sz w:val="20"/>
                <w:szCs w:val="20"/>
              </w:rPr>
            </w:pPr>
            <w:r w:rsidRPr="0092463B">
              <w:rPr>
                <w:rFonts w:ascii="Arial" w:hAnsi="Arial" w:cs="Arial"/>
                <w:sz w:val="20"/>
                <w:szCs w:val="20"/>
              </w:rPr>
              <w:t>PVP</w:t>
            </w:r>
            <w:r w:rsidR="00EB5476" w:rsidRPr="0092463B">
              <w:rPr>
                <w:rFonts w:ascii="Arial" w:hAnsi="Arial" w:cs="Arial"/>
                <w:sz w:val="20"/>
                <w:szCs w:val="20"/>
              </w:rPr>
              <w:t xml:space="preserve"> </w:t>
            </w:r>
            <w:r w:rsidRPr="0092463B">
              <w:rPr>
                <w:rFonts w:ascii="Arial" w:hAnsi="Arial" w:cs="Arial"/>
                <w:sz w:val="20"/>
                <w:szCs w:val="20"/>
              </w:rPr>
              <w:t>Sub-340B</w:t>
            </w:r>
          </w:p>
        </w:tc>
        <w:tc>
          <w:tcPr>
            <w:tcW w:w="5603" w:type="dxa"/>
            <w:shd w:val="clear" w:color="auto" w:fill="auto"/>
            <w:vAlign w:val="center"/>
          </w:tcPr>
          <w:p w14:paraId="1ED026A9" w14:textId="6A999DFD" w:rsidR="00EC718F" w:rsidRPr="0092463B" w:rsidRDefault="00F20EDE" w:rsidP="00E306A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Pr="00F20EDE">
              <w:rPr>
                <w:rFonts w:ascii="Arial" w:hAnsi="Arial" w:cs="Arial"/>
                <w:sz w:val="20"/>
                <w:szCs w:val="20"/>
              </w:rPr>
              <w:t>ontracted pricing available to PVP participants that is below the statutory 340B ceiling price. This price has been negotiated by the Prime Vendor with the manufacturer on behalf of 340B covered entities.</w:t>
            </w:r>
          </w:p>
        </w:tc>
        <w:tc>
          <w:tcPr>
            <w:tcW w:w="1212" w:type="dxa"/>
            <w:shd w:val="clear" w:color="auto" w:fill="auto"/>
            <w:vAlign w:val="center"/>
          </w:tcPr>
          <w:p w14:paraId="3267DB64" w14:textId="77777777" w:rsidR="00EC718F" w:rsidRPr="0092463B" w:rsidRDefault="00EC718F" w:rsidP="00E306A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c>
          <w:tcPr>
            <w:tcW w:w="1213" w:type="dxa"/>
            <w:shd w:val="clear" w:color="auto" w:fill="auto"/>
            <w:vAlign w:val="center"/>
          </w:tcPr>
          <w:p w14:paraId="5558556E" w14:textId="77777777" w:rsidR="00EC718F" w:rsidRPr="00F07CB4" w:rsidRDefault="00EC718F" w:rsidP="00E306A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07CB4">
              <w:rPr>
                <w:rFonts w:ascii="Arial" w:hAnsi="Arial" w:cs="Arial"/>
                <w:sz w:val="20"/>
                <w:szCs w:val="20"/>
              </w:rPr>
              <w:t>No</w:t>
            </w:r>
          </w:p>
        </w:tc>
      </w:tr>
      <w:tr w:rsidR="00EC718F" w:rsidRPr="0092463B" w14:paraId="0C860CCB" w14:textId="77777777" w:rsidTr="00F07CB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677" w:type="dxa"/>
            <w:shd w:val="clear" w:color="auto" w:fill="auto"/>
            <w:vAlign w:val="center"/>
          </w:tcPr>
          <w:p w14:paraId="773EDD98" w14:textId="03A35A85" w:rsidR="00EC718F" w:rsidRPr="0092463B" w:rsidRDefault="00EC718F" w:rsidP="00E306AA">
            <w:pPr>
              <w:spacing w:beforeLines="20" w:before="48" w:afterLines="20" w:after="48"/>
              <w:jc w:val="center"/>
              <w:rPr>
                <w:rFonts w:ascii="Arial" w:hAnsi="Arial" w:cs="Arial"/>
                <w:b w:val="0"/>
                <w:sz w:val="20"/>
                <w:szCs w:val="20"/>
              </w:rPr>
            </w:pPr>
            <w:r w:rsidRPr="0092463B">
              <w:rPr>
                <w:rFonts w:ascii="Arial" w:hAnsi="Arial" w:cs="Arial"/>
                <w:sz w:val="20"/>
                <w:szCs w:val="20"/>
              </w:rPr>
              <w:t>PVP</w:t>
            </w:r>
            <w:r w:rsidR="00EB5476" w:rsidRPr="0092463B">
              <w:rPr>
                <w:rFonts w:ascii="Arial" w:hAnsi="Arial" w:cs="Arial"/>
                <w:sz w:val="20"/>
                <w:szCs w:val="20"/>
              </w:rPr>
              <w:t xml:space="preserve"> </w:t>
            </w:r>
            <w:r w:rsidRPr="0092463B">
              <w:rPr>
                <w:rFonts w:ascii="Arial" w:hAnsi="Arial" w:cs="Arial"/>
                <w:sz w:val="20"/>
                <w:szCs w:val="20"/>
              </w:rPr>
              <w:t>Sub-WAC</w:t>
            </w:r>
          </w:p>
        </w:tc>
        <w:tc>
          <w:tcPr>
            <w:tcW w:w="5603" w:type="dxa"/>
            <w:shd w:val="clear" w:color="auto" w:fill="auto"/>
            <w:vAlign w:val="center"/>
          </w:tcPr>
          <w:p w14:paraId="41C802DC" w14:textId="5E44FBAA" w:rsidR="00EC718F" w:rsidRPr="0092463B" w:rsidRDefault="00F20EDE" w:rsidP="002F3505">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w:t>
            </w:r>
            <w:r w:rsidRPr="00F20EDE">
              <w:rPr>
                <w:rFonts w:ascii="Arial" w:hAnsi="Arial" w:cs="Arial"/>
                <w:bCs/>
                <w:sz w:val="20"/>
                <w:szCs w:val="20"/>
              </w:rPr>
              <w:t>ontracted pricing available to PVP participants that are subject to the GPO Prohibition and is below the wholesale acquisition cost (WAC). This price has been negotiated by the Prime Vendor with the manufacturer on behalf of 340B covered entities subject to the GPO Prohibition.</w:t>
            </w:r>
          </w:p>
        </w:tc>
        <w:tc>
          <w:tcPr>
            <w:tcW w:w="1212" w:type="dxa"/>
            <w:shd w:val="clear" w:color="auto" w:fill="auto"/>
            <w:vAlign w:val="center"/>
          </w:tcPr>
          <w:p w14:paraId="31228877" w14:textId="77777777" w:rsidR="00EC718F" w:rsidRPr="00F07CB4"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07CB4">
              <w:rPr>
                <w:rFonts w:ascii="Arial" w:hAnsi="Arial" w:cs="Arial"/>
                <w:bCs/>
                <w:sz w:val="20"/>
                <w:szCs w:val="20"/>
              </w:rPr>
              <w:t>No</w:t>
            </w:r>
          </w:p>
        </w:tc>
        <w:tc>
          <w:tcPr>
            <w:tcW w:w="1213" w:type="dxa"/>
            <w:shd w:val="clear" w:color="auto" w:fill="auto"/>
            <w:vAlign w:val="center"/>
          </w:tcPr>
          <w:p w14:paraId="14DA0F34" w14:textId="77777777" w:rsidR="00EC718F" w:rsidRPr="0092463B"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2463B">
              <w:rPr>
                <w:rFonts w:ascii="Arial" w:hAnsi="Arial" w:cs="Arial"/>
                <w:bCs/>
                <w:sz w:val="20"/>
                <w:szCs w:val="20"/>
              </w:rPr>
              <w:t>Yes</w:t>
            </w:r>
          </w:p>
        </w:tc>
      </w:tr>
      <w:tr w:rsidR="00EC718F" w:rsidRPr="0092463B" w14:paraId="40B518C9" w14:textId="77777777" w:rsidTr="00F07CB4">
        <w:tc>
          <w:tcPr>
            <w:cnfStyle w:val="001000000000" w:firstRow="0" w:lastRow="0" w:firstColumn="1" w:lastColumn="0" w:oddVBand="0" w:evenVBand="0" w:oddHBand="0" w:evenHBand="0" w:firstRowFirstColumn="0" w:firstRowLastColumn="0" w:lastRowFirstColumn="0" w:lastRowLastColumn="0"/>
            <w:tcW w:w="2677" w:type="dxa"/>
            <w:shd w:val="clear" w:color="auto" w:fill="auto"/>
            <w:vAlign w:val="center"/>
          </w:tcPr>
          <w:p w14:paraId="0DA5857E" w14:textId="66BF5A03" w:rsidR="00EC718F" w:rsidRPr="0092463B" w:rsidRDefault="00DE6E2E" w:rsidP="00E306AA">
            <w:pPr>
              <w:spacing w:beforeLines="20" w:before="48" w:afterLines="20" w:after="48"/>
              <w:jc w:val="center"/>
              <w:rPr>
                <w:rFonts w:ascii="Arial" w:hAnsi="Arial" w:cs="Arial"/>
                <w:b w:val="0"/>
                <w:sz w:val="20"/>
                <w:szCs w:val="20"/>
              </w:rPr>
            </w:pPr>
            <w:r w:rsidRPr="0092463B">
              <w:rPr>
                <w:rFonts w:ascii="Arial" w:hAnsi="Arial" w:cs="Arial"/>
                <w:sz w:val="20"/>
                <w:szCs w:val="20"/>
              </w:rPr>
              <w:t xml:space="preserve">PVP </w:t>
            </w:r>
            <w:r w:rsidR="00EC718F" w:rsidRPr="0092463B">
              <w:rPr>
                <w:rFonts w:ascii="Arial" w:hAnsi="Arial" w:cs="Arial"/>
                <w:sz w:val="20"/>
                <w:szCs w:val="20"/>
              </w:rPr>
              <w:t>Value-Added</w:t>
            </w:r>
          </w:p>
        </w:tc>
        <w:tc>
          <w:tcPr>
            <w:tcW w:w="5603" w:type="dxa"/>
            <w:shd w:val="clear" w:color="auto" w:fill="auto"/>
            <w:vAlign w:val="center"/>
          </w:tcPr>
          <w:p w14:paraId="21FED9AA" w14:textId="17778FF0" w:rsidR="00EC718F" w:rsidRPr="0092463B" w:rsidRDefault="00F20EDE" w:rsidP="00DE6E2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Contracted pricing available to PVP participants on</w:t>
            </w:r>
            <w:r w:rsidR="00EC718F" w:rsidRPr="0092463B">
              <w:rPr>
                <w:rFonts w:ascii="Arial" w:hAnsi="Arial" w:cs="Arial"/>
                <w:sz w:val="20"/>
                <w:szCs w:val="20"/>
              </w:rPr>
              <w:t xml:space="preserve"> </w:t>
            </w:r>
            <w:r w:rsidR="00DE6E2E" w:rsidRPr="0092463B">
              <w:rPr>
                <w:rFonts w:ascii="Arial" w:hAnsi="Arial" w:cs="Arial"/>
                <w:sz w:val="20"/>
                <w:szCs w:val="20"/>
              </w:rPr>
              <w:t xml:space="preserve">products that are not covered outpatient drugs under the Medicaid Drug Rebate Program </w:t>
            </w:r>
            <w:r w:rsidR="00EC718F" w:rsidRPr="0092463B">
              <w:rPr>
                <w:rFonts w:ascii="Arial" w:hAnsi="Arial" w:cs="Arial"/>
                <w:sz w:val="20"/>
                <w:szCs w:val="20"/>
              </w:rPr>
              <w:t>such as</w:t>
            </w:r>
            <w:r w:rsidR="00DE6E2E" w:rsidRPr="0092463B">
              <w:rPr>
                <w:rFonts w:ascii="Arial" w:hAnsi="Arial" w:cs="Arial"/>
                <w:sz w:val="20"/>
                <w:szCs w:val="20"/>
              </w:rPr>
              <w:t xml:space="preserve"> certain</w:t>
            </w:r>
            <w:r w:rsidR="00EC718F" w:rsidRPr="0092463B">
              <w:rPr>
                <w:rFonts w:ascii="Arial" w:hAnsi="Arial" w:cs="Arial"/>
                <w:sz w:val="20"/>
                <w:szCs w:val="20"/>
              </w:rPr>
              <w:t xml:space="preserve"> vaccines, blood glucose monitoring supplies, prescription vials and labels</w:t>
            </w:r>
            <w:r w:rsidR="00EB5476" w:rsidRPr="0092463B">
              <w:rPr>
                <w:rFonts w:ascii="Arial" w:hAnsi="Arial" w:cs="Arial"/>
                <w:sz w:val="20"/>
                <w:szCs w:val="20"/>
              </w:rPr>
              <w:t>, etc.</w:t>
            </w:r>
          </w:p>
        </w:tc>
        <w:tc>
          <w:tcPr>
            <w:tcW w:w="1212" w:type="dxa"/>
            <w:shd w:val="clear" w:color="auto" w:fill="auto"/>
            <w:vAlign w:val="center"/>
          </w:tcPr>
          <w:p w14:paraId="48F10CA6" w14:textId="77777777" w:rsidR="00EC718F" w:rsidRPr="0092463B" w:rsidRDefault="00EC718F" w:rsidP="00E306A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c>
          <w:tcPr>
            <w:tcW w:w="1213" w:type="dxa"/>
            <w:shd w:val="clear" w:color="auto" w:fill="auto"/>
            <w:vAlign w:val="center"/>
          </w:tcPr>
          <w:p w14:paraId="627F177E" w14:textId="77777777" w:rsidR="00EC718F" w:rsidRPr="0092463B" w:rsidRDefault="00EC718F" w:rsidP="00E306AA">
            <w:pP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r>
      <w:tr w:rsidR="00EC718F" w:rsidRPr="0092463B" w14:paraId="0EC8AD34" w14:textId="77777777" w:rsidTr="00F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shd w:val="clear" w:color="auto" w:fill="auto"/>
            <w:vAlign w:val="center"/>
          </w:tcPr>
          <w:p w14:paraId="7E5D5345" w14:textId="77777777" w:rsidR="00EC718F" w:rsidRPr="0092463B" w:rsidRDefault="00EC718F" w:rsidP="00E306AA">
            <w:pPr>
              <w:spacing w:beforeLines="20" w:before="48" w:afterLines="20" w:after="48"/>
              <w:jc w:val="center"/>
              <w:rPr>
                <w:rFonts w:ascii="Arial" w:hAnsi="Arial" w:cs="Arial"/>
                <w:b w:val="0"/>
                <w:sz w:val="20"/>
                <w:szCs w:val="20"/>
              </w:rPr>
            </w:pPr>
            <w:r w:rsidRPr="0092463B">
              <w:rPr>
                <w:rFonts w:ascii="Arial" w:hAnsi="Arial" w:cs="Arial"/>
                <w:sz w:val="20"/>
                <w:szCs w:val="20"/>
              </w:rPr>
              <w:t>Individual Hospital</w:t>
            </w:r>
            <w:r w:rsidR="00EB5476" w:rsidRPr="0092463B">
              <w:rPr>
                <w:rFonts w:ascii="Arial" w:hAnsi="Arial" w:cs="Arial"/>
                <w:sz w:val="20"/>
                <w:szCs w:val="20"/>
              </w:rPr>
              <w:t xml:space="preserve"> </w:t>
            </w:r>
            <w:r w:rsidRPr="0092463B">
              <w:rPr>
                <w:rFonts w:ascii="Arial" w:hAnsi="Arial" w:cs="Arial"/>
                <w:sz w:val="20"/>
                <w:szCs w:val="20"/>
              </w:rPr>
              <w:t>Agreement</w:t>
            </w:r>
          </w:p>
        </w:tc>
        <w:tc>
          <w:tcPr>
            <w:tcW w:w="5603" w:type="dxa"/>
            <w:shd w:val="clear" w:color="auto" w:fill="auto"/>
            <w:vAlign w:val="center"/>
          </w:tcPr>
          <w:p w14:paraId="5D506BE9" w14:textId="77777777" w:rsidR="00EC718F" w:rsidRPr="0092463B" w:rsidRDefault="00F67966" w:rsidP="00E306A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463B">
              <w:rPr>
                <w:rFonts w:ascii="Arial" w:hAnsi="Arial" w:cs="Arial"/>
                <w:bCs/>
                <w:sz w:val="20"/>
                <w:szCs w:val="20"/>
              </w:rPr>
              <w:t xml:space="preserve">Agreement negotiated directly between </w:t>
            </w:r>
            <w:r w:rsidR="002B4BF7" w:rsidRPr="0092463B">
              <w:rPr>
                <w:rFonts w:ascii="Arial" w:hAnsi="Arial" w:cs="Arial"/>
                <w:bCs/>
                <w:sz w:val="20"/>
                <w:szCs w:val="20"/>
              </w:rPr>
              <w:t>a single</w:t>
            </w:r>
            <w:r w:rsidRPr="0092463B">
              <w:rPr>
                <w:rFonts w:ascii="Arial" w:hAnsi="Arial" w:cs="Arial"/>
                <w:bCs/>
                <w:sz w:val="20"/>
                <w:szCs w:val="20"/>
              </w:rPr>
              <w:t xml:space="preserve"> 340B covered entity </w:t>
            </w:r>
            <w:r w:rsidR="00DE6E2E" w:rsidRPr="0092463B">
              <w:rPr>
                <w:rFonts w:ascii="Arial" w:hAnsi="Arial" w:cs="Arial"/>
                <w:bCs/>
                <w:sz w:val="20"/>
                <w:szCs w:val="20"/>
              </w:rPr>
              <w:t xml:space="preserve">(single 340B ID) </w:t>
            </w:r>
            <w:r w:rsidRPr="0092463B">
              <w:rPr>
                <w:rFonts w:ascii="Arial" w:hAnsi="Arial" w:cs="Arial"/>
                <w:bCs/>
                <w:sz w:val="20"/>
                <w:szCs w:val="20"/>
              </w:rPr>
              <w:t>and the manufacturer.</w:t>
            </w:r>
            <w:r w:rsidRPr="0092463B">
              <w:rPr>
                <w:rFonts w:ascii="Arial" w:hAnsi="Arial" w:cs="Arial"/>
                <w:sz w:val="20"/>
                <w:szCs w:val="20"/>
              </w:rPr>
              <w:t xml:space="preserve"> </w:t>
            </w:r>
          </w:p>
        </w:tc>
        <w:tc>
          <w:tcPr>
            <w:tcW w:w="1212" w:type="dxa"/>
            <w:shd w:val="clear" w:color="auto" w:fill="auto"/>
            <w:vAlign w:val="center"/>
          </w:tcPr>
          <w:p w14:paraId="7148AE92" w14:textId="77777777" w:rsidR="00EC718F" w:rsidRPr="0092463B"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c>
          <w:tcPr>
            <w:tcW w:w="1213" w:type="dxa"/>
            <w:shd w:val="clear" w:color="auto" w:fill="auto"/>
            <w:vAlign w:val="center"/>
          </w:tcPr>
          <w:p w14:paraId="0C5E0A95" w14:textId="77777777" w:rsidR="00EC718F" w:rsidRPr="0092463B" w:rsidRDefault="00EC718F" w:rsidP="00E306AA">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463B">
              <w:rPr>
                <w:rFonts w:ascii="Arial" w:hAnsi="Arial" w:cs="Arial"/>
                <w:sz w:val="20"/>
                <w:szCs w:val="20"/>
              </w:rPr>
              <w:t>Yes</w:t>
            </w:r>
          </w:p>
        </w:tc>
      </w:tr>
    </w:tbl>
    <w:p w14:paraId="43A96AC6" w14:textId="77777777" w:rsidR="00EC718F" w:rsidRPr="000D7C6E" w:rsidRDefault="00EC718F" w:rsidP="00461734">
      <w:pPr>
        <w:widowControl/>
        <w:rPr>
          <w:rFonts w:ascii="Arial" w:hAnsi="Arial" w:cs="Arial"/>
          <w:sz w:val="20"/>
          <w:szCs w:val="20"/>
        </w:rPr>
      </w:pPr>
    </w:p>
    <w:p w14:paraId="5CA48FCB" w14:textId="4C0352CA" w:rsidR="00F278F7" w:rsidRPr="005022EF" w:rsidRDefault="006F7321" w:rsidP="00461734">
      <w:pPr>
        <w:widowControl/>
        <w:rPr>
          <w:rFonts w:ascii="Arial" w:hAnsi="Arial" w:cs="Arial"/>
          <w:b/>
          <w:szCs w:val="20"/>
        </w:rPr>
      </w:pPr>
      <w:r w:rsidRPr="007D63DD">
        <w:rPr>
          <w:rFonts w:ascii="Arial" w:hAnsi="Arial" w:cs="Arial"/>
          <w:szCs w:val="20"/>
        </w:rPr>
        <w:t>For information on non-</w:t>
      </w:r>
      <w:r w:rsidR="00AB0E9E" w:rsidRPr="007D63DD">
        <w:rPr>
          <w:rFonts w:ascii="Arial" w:hAnsi="Arial" w:cs="Arial"/>
          <w:szCs w:val="20"/>
        </w:rPr>
        <w:t>GPO</w:t>
      </w:r>
      <w:r w:rsidRPr="007D63DD">
        <w:rPr>
          <w:rFonts w:ascii="Arial" w:hAnsi="Arial" w:cs="Arial"/>
          <w:szCs w:val="20"/>
        </w:rPr>
        <w:t>/WAC purchasing strategies</w:t>
      </w:r>
      <w:r w:rsidR="00EB5476" w:rsidRPr="007D63DD">
        <w:rPr>
          <w:rFonts w:ascii="Arial" w:hAnsi="Arial" w:cs="Arial"/>
          <w:szCs w:val="20"/>
        </w:rPr>
        <w:t>,</w:t>
      </w:r>
      <w:r w:rsidRPr="007D63DD">
        <w:rPr>
          <w:rFonts w:ascii="Arial" w:hAnsi="Arial" w:cs="Arial"/>
          <w:szCs w:val="20"/>
        </w:rPr>
        <w:t xml:space="preserve"> see the </w:t>
      </w:r>
      <w:r w:rsidR="005E3BDC">
        <w:rPr>
          <w:rFonts w:ascii="Arial" w:hAnsi="Arial" w:cs="Arial"/>
          <w:szCs w:val="20"/>
        </w:rPr>
        <w:t>“</w:t>
      </w:r>
      <w:hyperlink r:id="rId8" w:history="1">
        <w:r w:rsidR="005E3BDC" w:rsidRPr="000C42E5">
          <w:rPr>
            <w:rStyle w:val="Hyperlink"/>
            <w:rFonts w:ascii="Arial" w:hAnsi="Arial" w:cs="Arial"/>
            <w:szCs w:val="20"/>
          </w:rPr>
          <w:t>WAC Account Purchasing Strategies</w:t>
        </w:r>
      </w:hyperlink>
      <w:r w:rsidR="005E3BDC">
        <w:rPr>
          <w:rFonts w:ascii="Arial" w:hAnsi="Arial" w:cs="Arial"/>
          <w:szCs w:val="20"/>
        </w:rPr>
        <w:t xml:space="preserve">” </w:t>
      </w:r>
      <w:r w:rsidRPr="005022EF">
        <w:rPr>
          <w:rFonts w:ascii="Arial" w:hAnsi="Arial" w:cs="Arial"/>
          <w:szCs w:val="20"/>
        </w:rPr>
        <w:t>tool.</w:t>
      </w:r>
    </w:p>
    <w:p w14:paraId="18EE8E8D" w14:textId="77777777" w:rsidR="007D63DD" w:rsidRDefault="007D63DD" w:rsidP="00993690">
      <w:pPr>
        <w:spacing w:before="81"/>
        <w:ind w:right="117"/>
        <w:jc w:val="both"/>
        <w:rPr>
          <w:rFonts w:ascii="Arial Narrow" w:hAnsi="Arial Narrow" w:cs="Arial"/>
          <w:i/>
          <w:color w:val="303030"/>
          <w:sz w:val="14"/>
          <w:szCs w:val="18"/>
        </w:rPr>
      </w:pPr>
    </w:p>
    <w:p w14:paraId="12DF6B87" w14:textId="77777777" w:rsidR="007D63DD" w:rsidRDefault="007D63DD" w:rsidP="00993690">
      <w:pPr>
        <w:spacing w:before="81"/>
        <w:ind w:right="117"/>
        <w:jc w:val="both"/>
        <w:rPr>
          <w:rFonts w:ascii="Arial Narrow" w:hAnsi="Arial Narrow" w:cs="Arial"/>
          <w:i/>
          <w:color w:val="303030"/>
          <w:sz w:val="14"/>
          <w:szCs w:val="18"/>
        </w:rPr>
      </w:pPr>
    </w:p>
    <w:p w14:paraId="202CC547" w14:textId="77777777" w:rsidR="007D63DD" w:rsidRDefault="007D63DD" w:rsidP="00993690">
      <w:pPr>
        <w:spacing w:before="81"/>
        <w:ind w:right="117"/>
        <w:jc w:val="both"/>
        <w:rPr>
          <w:rFonts w:ascii="Arial Narrow" w:hAnsi="Arial Narrow" w:cs="Arial"/>
          <w:i/>
          <w:color w:val="303030"/>
          <w:sz w:val="14"/>
          <w:szCs w:val="18"/>
        </w:rPr>
      </w:pPr>
    </w:p>
    <w:p w14:paraId="39B69B54" w14:textId="77777777" w:rsidR="007D63DD" w:rsidRDefault="007D63DD" w:rsidP="00993690">
      <w:pPr>
        <w:spacing w:before="81"/>
        <w:ind w:right="117"/>
        <w:jc w:val="both"/>
        <w:rPr>
          <w:rFonts w:ascii="Arial Narrow" w:hAnsi="Arial Narrow" w:cs="Arial"/>
          <w:i/>
          <w:color w:val="303030"/>
          <w:sz w:val="14"/>
          <w:szCs w:val="18"/>
        </w:rPr>
      </w:pPr>
    </w:p>
    <w:p w14:paraId="2D71B0F8" w14:textId="77777777" w:rsidR="007D63DD" w:rsidRDefault="007D63DD" w:rsidP="00993690">
      <w:pPr>
        <w:spacing w:before="81"/>
        <w:ind w:right="117"/>
        <w:jc w:val="both"/>
        <w:rPr>
          <w:rFonts w:ascii="Arial Narrow" w:hAnsi="Arial Narrow" w:cs="Arial"/>
          <w:i/>
          <w:color w:val="303030"/>
          <w:sz w:val="14"/>
          <w:szCs w:val="18"/>
        </w:rPr>
      </w:pPr>
    </w:p>
    <w:p w14:paraId="7D9EF08F" w14:textId="77777777" w:rsidR="007D63DD" w:rsidRDefault="007D63DD" w:rsidP="00993690">
      <w:pPr>
        <w:spacing w:before="81"/>
        <w:ind w:right="117"/>
        <w:jc w:val="both"/>
        <w:rPr>
          <w:rFonts w:ascii="Arial Narrow" w:hAnsi="Arial Narrow" w:cs="Arial"/>
          <w:i/>
          <w:color w:val="303030"/>
          <w:sz w:val="14"/>
          <w:szCs w:val="18"/>
        </w:rPr>
      </w:pPr>
    </w:p>
    <w:p w14:paraId="557F8F51" w14:textId="77777777" w:rsidR="007D63DD" w:rsidRDefault="007D63DD" w:rsidP="00993690">
      <w:pPr>
        <w:spacing w:before="81"/>
        <w:ind w:right="117"/>
        <w:jc w:val="both"/>
        <w:rPr>
          <w:rFonts w:ascii="Arial Narrow" w:hAnsi="Arial Narrow" w:cs="Arial"/>
          <w:i/>
          <w:color w:val="303030"/>
          <w:sz w:val="14"/>
          <w:szCs w:val="18"/>
        </w:rPr>
      </w:pPr>
    </w:p>
    <w:p w14:paraId="19A9E986" w14:textId="77777777" w:rsidR="007D63DD" w:rsidRDefault="007D63DD" w:rsidP="00993690">
      <w:pPr>
        <w:spacing w:before="81"/>
        <w:ind w:right="117"/>
        <w:jc w:val="both"/>
        <w:rPr>
          <w:rFonts w:ascii="Arial Narrow" w:hAnsi="Arial Narrow" w:cs="Arial"/>
          <w:i/>
          <w:color w:val="303030"/>
          <w:sz w:val="14"/>
          <w:szCs w:val="18"/>
        </w:rPr>
      </w:pPr>
    </w:p>
    <w:p w14:paraId="29B11B01" w14:textId="77777777" w:rsidR="007D63DD" w:rsidRDefault="007D63DD" w:rsidP="00993690">
      <w:pPr>
        <w:spacing w:before="81"/>
        <w:ind w:right="117"/>
        <w:jc w:val="both"/>
        <w:rPr>
          <w:rFonts w:ascii="Arial Narrow" w:hAnsi="Arial Narrow" w:cs="Arial"/>
          <w:i/>
          <w:color w:val="303030"/>
          <w:sz w:val="14"/>
          <w:szCs w:val="18"/>
        </w:rPr>
      </w:pPr>
    </w:p>
    <w:p w14:paraId="0A65CE62" w14:textId="77777777" w:rsidR="007D63DD" w:rsidRDefault="007D63DD" w:rsidP="00993690">
      <w:pPr>
        <w:spacing w:before="81"/>
        <w:ind w:right="117"/>
        <w:jc w:val="both"/>
        <w:rPr>
          <w:rFonts w:ascii="Arial Narrow" w:hAnsi="Arial Narrow" w:cs="Arial"/>
          <w:i/>
          <w:color w:val="303030"/>
          <w:sz w:val="14"/>
          <w:szCs w:val="18"/>
        </w:rPr>
      </w:pPr>
    </w:p>
    <w:p w14:paraId="7EAB30FB" w14:textId="77777777" w:rsidR="007D63DD" w:rsidRDefault="007D63DD" w:rsidP="00993690">
      <w:pPr>
        <w:spacing w:before="81"/>
        <w:ind w:right="117"/>
        <w:jc w:val="both"/>
        <w:rPr>
          <w:rFonts w:ascii="Arial Narrow" w:hAnsi="Arial Narrow" w:cs="Arial"/>
          <w:i/>
          <w:color w:val="303030"/>
          <w:sz w:val="14"/>
          <w:szCs w:val="18"/>
        </w:rPr>
      </w:pPr>
    </w:p>
    <w:p w14:paraId="56A64D33" w14:textId="77777777" w:rsidR="00993690" w:rsidRDefault="00993690" w:rsidP="00993690">
      <w:pPr>
        <w:spacing w:before="81"/>
        <w:ind w:right="117"/>
        <w:jc w:val="both"/>
        <w:rPr>
          <w:rFonts w:ascii="Arial Narrow" w:hAnsi="Arial Narrow" w:cs="Arial"/>
          <w:i/>
          <w:color w:val="303030"/>
          <w:sz w:val="14"/>
          <w:szCs w:val="18"/>
        </w:rPr>
      </w:pPr>
      <w:r w:rsidRPr="00993690">
        <w:rPr>
          <w:rFonts w:ascii="Arial Narrow" w:hAnsi="Arial Narrow" w:cs="Arial"/>
          <w:i/>
          <w:color w:val="303030"/>
          <w:sz w:val="14"/>
          <w:szCs w:val="18"/>
        </w:rPr>
        <w:t xml:space="preserve">This tool is written to align with Health Resources and Services Administration (HRSA) </w:t>
      </w:r>
      <w:proofErr w:type="gramStart"/>
      <w:r w:rsidRPr="00993690">
        <w:rPr>
          <w:rFonts w:ascii="Arial Narrow" w:hAnsi="Arial Narrow" w:cs="Arial"/>
          <w:i/>
          <w:color w:val="303030"/>
          <w:sz w:val="14"/>
          <w:szCs w:val="18"/>
        </w:rPr>
        <w:t>policy, and</w:t>
      </w:r>
      <w:proofErr w:type="gramEnd"/>
      <w:r w:rsidRPr="00993690">
        <w:rPr>
          <w:rFonts w:ascii="Arial Narrow" w:hAnsi="Arial Narrow" w:cs="Arial"/>
          <w:i/>
          <w:color w:val="303030"/>
          <w:sz w:val="14"/>
          <w:szCs w:val="18"/>
        </w:rPr>
        <w:t xml:space="preserve">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Pr>
          <w:rFonts w:ascii="Arial Narrow" w:hAnsi="Arial Narrow" w:cs="Arial"/>
          <w:i/>
          <w:color w:val="303030"/>
          <w:sz w:val="14"/>
          <w:szCs w:val="18"/>
        </w:rPr>
        <w:t>heir program integrity efforts.</w:t>
      </w:r>
    </w:p>
    <w:p w14:paraId="44EC842E" w14:textId="6AC26625" w:rsidR="00A45371" w:rsidRPr="00E366A8" w:rsidRDefault="00993690" w:rsidP="00993690">
      <w:pPr>
        <w:spacing w:before="81"/>
        <w:ind w:right="117"/>
        <w:jc w:val="both"/>
        <w:rPr>
          <w:rFonts w:ascii="Arial Narrow" w:hAnsi="Arial Narrow" w:cs="Arial"/>
          <w:sz w:val="16"/>
          <w:szCs w:val="20"/>
        </w:rPr>
      </w:pPr>
      <w:r w:rsidRPr="00993690">
        <w:rPr>
          <w:rFonts w:ascii="Arial Narrow" w:hAnsi="Arial Narrow" w:cs="Arial"/>
          <w:i/>
          <w:color w:val="303030"/>
          <w:sz w:val="14"/>
          <w:szCs w:val="18"/>
        </w:rPr>
        <w:t xml:space="preserve">© </w:t>
      </w:r>
      <w:r w:rsidR="00E9399D">
        <w:rPr>
          <w:rFonts w:ascii="Arial Narrow" w:hAnsi="Arial Narrow" w:cs="Arial"/>
          <w:i/>
          <w:color w:val="303030"/>
          <w:sz w:val="14"/>
          <w:szCs w:val="18"/>
        </w:rPr>
        <w:t xml:space="preserve">2021 </w:t>
      </w:r>
      <w:r w:rsidRPr="00993690">
        <w:rPr>
          <w:rFonts w:ascii="Arial Narrow" w:hAnsi="Arial Narrow" w:cs="Arial"/>
          <w:i/>
          <w:color w:val="303030"/>
          <w:sz w:val="14"/>
          <w:szCs w:val="18"/>
        </w:rPr>
        <w:t>Apexus.  Permission is granted to use, copy, and distribute this work solely for 340B covered entities and Medicaid agencies.</w:t>
      </w:r>
    </w:p>
    <w:sectPr w:rsidR="00A45371" w:rsidRPr="00E366A8" w:rsidSect="00EE0C71">
      <w:headerReference w:type="default" r:id="rId9"/>
      <w:footerReference w:type="default" r:id="rId10"/>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1B10" w14:textId="77777777" w:rsidR="00477ADC" w:rsidRDefault="00477ADC">
      <w:r>
        <w:separator/>
      </w:r>
    </w:p>
  </w:endnote>
  <w:endnote w:type="continuationSeparator" w:id="0">
    <w:p w14:paraId="05AB4A98" w14:textId="77777777" w:rsidR="00477ADC" w:rsidRDefault="0047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EB128" w14:textId="77777777" w:rsidR="006F7321" w:rsidRPr="00EE0C71" w:rsidRDefault="006F7321" w:rsidP="00EE0C71">
    <w:pPr>
      <w:pStyle w:val="Footer"/>
      <w:tabs>
        <w:tab w:val="clear" w:pos="4680"/>
        <w:tab w:val="clear" w:pos="9360"/>
      </w:tabs>
      <w:spacing w:before="60" w:after="60"/>
      <w:jc w:val="center"/>
      <w:rPr>
        <w:rFonts w:ascii="Arial Narrow" w:hAnsi="Arial Narrow"/>
        <w:color w:val="1F497D" w:themeColor="text2"/>
        <w:szCs w:val="20"/>
      </w:rPr>
    </w:pPr>
    <w:r w:rsidRPr="00EE0C71">
      <w:rPr>
        <w:rFonts w:ascii="Arial Narrow" w:hAnsi="Arial Narrow"/>
        <w:color w:val="1F497D" w:themeColor="text2"/>
        <w:szCs w:val="20"/>
      </w:rPr>
      <w:t xml:space="preserve">340B Prime Vendor Program | </w:t>
    </w:r>
    <w:proofErr w:type="gramStart"/>
    <w:r w:rsidRPr="00EE0C71">
      <w:rPr>
        <w:rFonts w:ascii="Arial Narrow" w:hAnsi="Arial Narrow"/>
        <w:color w:val="1F497D" w:themeColor="text2"/>
        <w:szCs w:val="20"/>
      </w:rPr>
      <w:t>888.340.BPVP</w:t>
    </w:r>
    <w:proofErr w:type="gramEnd"/>
    <w:r w:rsidRPr="00EE0C71">
      <w:rPr>
        <w:rFonts w:ascii="Arial Narrow" w:hAnsi="Arial Narrow"/>
        <w:color w:val="1F497D" w:themeColor="text2"/>
        <w:szCs w:val="20"/>
      </w:rPr>
      <w:t xml:space="preserve"> (2787) | apexusanswers@340Bpvp.com | www.340Bpvp.com </w:t>
    </w:r>
  </w:p>
  <w:p w14:paraId="5C9EF1AB" w14:textId="3124CA22" w:rsidR="006F7321" w:rsidRPr="00EE0C71" w:rsidRDefault="006F7321" w:rsidP="00EE0C71">
    <w:pPr>
      <w:pStyle w:val="Footer"/>
      <w:tabs>
        <w:tab w:val="clear" w:pos="9360"/>
        <w:tab w:val="right" w:pos="10800"/>
      </w:tabs>
      <w:rPr>
        <w:rFonts w:ascii="Arial Narrow" w:hAnsi="Arial Narrow"/>
      </w:rPr>
    </w:pPr>
    <w:r w:rsidRPr="00EE0C71">
      <w:rPr>
        <w:rFonts w:ascii="Arial Narrow" w:hAnsi="Arial Narrow"/>
        <w:color w:val="1F497D" w:themeColor="text2"/>
        <w:sz w:val="16"/>
      </w:rPr>
      <w:t>© 20</w:t>
    </w:r>
    <w:r w:rsidR="007F4E25">
      <w:rPr>
        <w:rFonts w:ascii="Arial Narrow" w:hAnsi="Arial Narrow"/>
        <w:color w:val="1F497D" w:themeColor="text2"/>
        <w:sz w:val="16"/>
      </w:rPr>
      <w:t>21</w:t>
    </w:r>
    <w:r w:rsidRPr="00EE0C71">
      <w:rPr>
        <w:rFonts w:ascii="Arial Narrow" w:hAnsi="Arial Narrow"/>
        <w:color w:val="1F497D" w:themeColor="text2"/>
        <w:sz w:val="16"/>
      </w:rPr>
      <w:t xml:space="preserve"> Apexus LLC.</w:t>
    </w:r>
    <w:r>
      <w:rPr>
        <w:rFonts w:ascii="Arial Narrow" w:hAnsi="Arial Narrow"/>
        <w:color w:val="1F497D" w:themeColor="text2"/>
        <w:sz w:val="16"/>
      </w:rPr>
      <w:t xml:space="preserve">  All rights reserved.</w:t>
    </w:r>
    <w:r>
      <w:rPr>
        <w:rFonts w:ascii="Arial Narrow" w:hAnsi="Arial Narrow"/>
        <w:color w:val="1F497D" w:themeColor="text2"/>
        <w:sz w:val="16"/>
      </w:rPr>
      <w:tab/>
    </w:r>
    <w:r>
      <w:rPr>
        <w:rFonts w:ascii="Arial Narrow" w:hAnsi="Arial Narrow"/>
        <w:color w:val="1F497D" w:themeColor="text2"/>
        <w:sz w:val="16"/>
      </w:rPr>
      <w:tab/>
    </w:r>
    <w:r w:rsidR="00534362">
      <w:rPr>
        <w:rFonts w:ascii="Arial Narrow" w:hAnsi="Arial Narrow"/>
        <w:color w:val="1F497D" w:themeColor="text2"/>
        <w:sz w:val="16"/>
      </w:rPr>
      <w:t>0</w:t>
    </w:r>
    <w:r w:rsidR="001A3703">
      <w:rPr>
        <w:rFonts w:ascii="Arial Narrow" w:hAnsi="Arial Narrow"/>
        <w:color w:val="1F497D" w:themeColor="text2"/>
        <w:sz w:val="16"/>
      </w:rPr>
      <w:t>426</w:t>
    </w:r>
    <w:r w:rsidR="00F20EDE">
      <w:rPr>
        <w:rFonts w:ascii="Arial Narrow" w:hAnsi="Arial Narrow"/>
        <w:color w:val="1F497D" w:themeColor="text2"/>
        <w:sz w:val="16"/>
      </w:rPr>
      <w:t>202</w:t>
    </w:r>
    <w:r w:rsidR="001A3703">
      <w:rPr>
        <w:rFonts w:ascii="Arial Narrow" w:hAnsi="Arial Narrow"/>
        <w:color w:val="1F497D" w:themeColor="text2"/>
        <w:sz w:val="16"/>
      </w:rPr>
      <w:t>1</w:t>
    </w:r>
  </w:p>
  <w:p w14:paraId="58AA186B" w14:textId="77777777" w:rsidR="006F7321" w:rsidRDefault="006F7321">
    <w:pPr>
      <w:spacing w:line="14" w:lineRule="auto"/>
      <w:rPr>
        <w:rFonts w:ascii="Arial Narrow" w:hAnsi="Arial Narrow"/>
        <w:sz w:val="20"/>
        <w:szCs w:val="20"/>
      </w:rPr>
    </w:pPr>
  </w:p>
  <w:p w14:paraId="10779EE9" w14:textId="77777777" w:rsidR="006F7321" w:rsidRPr="00EE0C71" w:rsidRDefault="006F7321">
    <w:pPr>
      <w:spacing w:line="14" w:lineRule="auto"/>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CCDA" w14:textId="77777777" w:rsidR="00477ADC" w:rsidRDefault="00477ADC">
      <w:r>
        <w:separator/>
      </w:r>
    </w:p>
  </w:footnote>
  <w:footnote w:type="continuationSeparator" w:id="0">
    <w:p w14:paraId="7C1830BB" w14:textId="77777777" w:rsidR="00477ADC" w:rsidRDefault="0047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2584" w14:textId="77777777" w:rsidR="006F7321" w:rsidRDefault="006F7321" w:rsidP="00312D62">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60288" behindDoc="1" locked="0" layoutInCell="1" allowOverlap="1" wp14:anchorId="5E14FC82" wp14:editId="6627F3F2">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211DD0">
      <w:rPr>
        <w:rFonts w:ascii="Arial Narrow" w:hAnsi="Arial Narrow"/>
        <w:noProof/>
        <w:color w:val="00B0F0"/>
        <w:sz w:val="40"/>
        <w:szCs w:val="40"/>
      </w:rPr>
      <w:t>Non-GPO/WAC and 340B Contract</w:t>
    </w:r>
    <w:r>
      <w:rPr>
        <w:rFonts w:ascii="Arial Narrow" w:hAnsi="Arial Narrow"/>
        <w:noProof/>
        <w:color w:val="00B0F0"/>
        <w:sz w:val="40"/>
        <w:szCs w:val="40"/>
      </w:rPr>
      <w:t xml:space="preserve"> Load Options</w:t>
    </w:r>
    <w:r w:rsidRPr="00B91E19">
      <w:rPr>
        <w:rFonts w:ascii="Arial Narrow" w:hAnsi="Arial Narrow"/>
        <w:noProof/>
        <w:color w:val="00B0F0"/>
        <w:sz w:val="40"/>
        <w:szCs w:val="40"/>
      </w:rPr>
      <w:t xml:space="preserve">  </w:t>
    </w:r>
  </w:p>
  <w:p w14:paraId="566317D0" w14:textId="77777777" w:rsidR="006F7321" w:rsidRPr="001D63D7" w:rsidRDefault="006F7321" w:rsidP="001D63D7">
    <w:pPr>
      <w:widowControl/>
      <w:tabs>
        <w:tab w:val="center" w:pos="4680"/>
        <w:tab w:val="right" w:pos="9360"/>
      </w:tabs>
      <w:rPr>
        <w:rFonts w:ascii="Arial Narrow" w:eastAsiaTheme="minorHAnsi" w:hAnsi="Arial Narrow" w:cstheme="minorBidi"/>
        <w:noProof/>
        <w:color w:val="1F497D" w:themeColor="text2"/>
        <w:sz w:val="32"/>
      </w:rPr>
    </w:pPr>
    <w:r w:rsidRPr="00312D62">
      <w:rPr>
        <w:rFonts w:ascii="Arial Narrow" w:eastAsiaTheme="minorHAnsi" w:hAnsi="Arial Narrow" w:cstheme="minorBidi"/>
        <w:noProof/>
        <w:color w:val="1F497D" w:themeColor="text2"/>
        <w:sz w:val="32"/>
      </w:rPr>
      <w:t>GPO Prohi</w:t>
    </w:r>
    <w:r>
      <w:rPr>
        <w:rFonts w:ascii="Arial Narrow" w:eastAsiaTheme="minorHAnsi" w:hAnsi="Arial Narrow" w:cstheme="minorBidi"/>
        <w:noProof/>
        <w:color w:val="1F497D" w:themeColor="text2"/>
        <w:sz w:val="32"/>
      </w:rPr>
      <w:t xml:space="preserve">bition Hospitals (DSH/PED/CAN) </w:t>
    </w:r>
    <w:r w:rsidRPr="00B91E19">
      <w:rPr>
        <w:rFonts w:ascii="Arial Narrow" w:hAnsi="Arial Narrow"/>
        <w:noProof/>
        <w:color w:val="00B0F0"/>
        <w:sz w:val="40"/>
        <w:szCs w:val="40"/>
      </w:rPr>
      <w:tab/>
    </w:r>
  </w:p>
  <w:p w14:paraId="32955EC1" w14:textId="77777777" w:rsidR="006F7321" w:rsidRPr="00D1798B" w:rsidRDefault="006F7321" w:rsidP="00171189">
    <w:pPr>
      <w:pStyle w:val="Header"/>
      <w:rPr>
        <w:rFonts w:ascii="Arial" w:hAnsi="Arial" w:cs="Arial"/>
        <w:noProof/>
        <w:color w:val="00B0F0"/>
        <w:sz w:val="40"/>
        <w:szCs w:val="40"/>
      </w:rPr>
    </w:pPr>
    <w:r>
      <w:rPr>
        <w:noProof/>
        <w:sz w:val="12"/>
      </w:rPr>
      <w:drawing>
        <wp:anchor distT="0" distB="0" distL="114300" distR="114300" simplePos="0" relativeHeight="251659264" behindDoc="0" locked="0" layoutInCell="1" allowOverlap="1" wp14:anchorId="25C67A42" wp14:editId="4A4D0CAB">
          <wp:simplePos x="0" y="0"/>
          <wp:positionH relativeFrom="column">
            <wp:posOffset>-15240</wp:posOffset>
          </wp:positionH>
          <wp:positionV relativeFrom="paragraph">
            <wp:posOffset>198120</wp:posOffset>
          </wp:positionV>
          <wp:extent cx="6858000" cy="131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2760E3F0" w14:textId="77777777" w:rsidR="006F7321" w:rsidRPr="00171189" w:rsidRDefault="006F7321" w:rsidP="0017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D6B39"/>
    <w:multiLevelType w:val="hybridMultilevel"/>
    <w:tmpl w:val="30BACBCC"/>
    <w:lvl w:ilvl="0" w:tplc="F45627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57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jAwMrKwMDM0tLRU0lEKTi0uzszPAykwrAUAvdgdSywAAAA="/>
  </w:docVars>
  <w:rsids>
    <w:rsidRoot w:val="007B4E7D"/>
    <w:rsid w:val="00000718"/>
    <w:rsid w:val="00000F06"/>
    <w:rsid w:val="0000144A"/>
    <w:rsid w:val="00001E58"/>
    <w:rsid w:val="000021BA"/>
    <w:rsid w:val="000116B7"/>
    <w:rsid w:val="00011D28"/>
    <w:rsid w:val="00012151"/>
    <w:rsid w:val="00013985"/>
    <w:rsid w:val="0001663B"/>
    <w:rsid w:val="0001737D"/>
    <w:rsid w:val="0002216D"/>
    <w:rsid w:val="000262CA"/>
    <w:rsid w:val="0002677C"/>
    <w:rsid w:val="00031049"/>
    <w:rsid w:val="0003260B"/>
    <w:rsid w:val="00032C9E"/>
    <w:rsid w:val="000339E5"/>
    <w:rsid w:val="00034416"/>
    <w:rsid w:val="000349FD"/>
    <w:rsid w:val="00034D0A"/>
    <w:rsid w:val="000354CE"/>
    <w:rsid w:val="00037DBC"/>
    <w:rsid w:val="00042711"/>
    <w:rsid w:val="00043B82"/>
    <w:rsid w:val="00045EE4"/>
    <w:rsid w:val="00047255"/>
    <w:rsid w:val="00050B2F"/>
    <w:rsid w:val="00053045"/>
    <w:rsid w:val="00053B4F"/>
    <w:rsid w:val="00055DAD"/>
    <w:rsid w:val="000574B2"/>
    <w:rsid w:val="000578E1"/>
    <w:rsid w:val="00062016"/>
    <w:rsid w:val="000620D3"/>
    <w:rsid w:val="0006321F"/>
    <w:rsid w:val="00063EB6"/>
    <w:rsid w:val="000643A9"/>
    <w:rsid w:val="00066E1E"/>
    <w:rsid w:val="00067411"/>
    <w:rsid w:val="00074BCE"/>
    <w:rsid w:val="00075DC7"/>
    <w:rsid w:val="0007740B"/>
    <w:rsid w:val="000815E6"/>
    <w:rsid w:val="000822EF"/>
    <w:rsid w:val="00083411"/>
    <w:rsid w:val="000841DF"/>
    <w:rsid w:val="00093E6A"/>
    <w:rsid w:val="0009701E"/>
    <w:rsid w:val="000A5F01"/>
    <w:rsid w:val="000A75EB"/>
    <w:rsid w:val="000B0B9A"/>
    <w:rsid w:val="000B40D9"/>
    <w:rsid w:val="000B4BD8"/>
    <w:rsid w:val="000B4ED4"/>
    <w:rsid w:val="000B6005"/>
    <w:rsid w:val="000C0BC7"/>
    <w:rsid w:val="000C1561"/>
    <w:rsid w:val="000C23C0"/>
    <w:rsid w:val="000C2501"/>
    <w:rsid w:val="000C3F5B"/>
    <w:rsid w:val="000C42E5"/>
    <w:rsid w:val="000C473A"/>
    <w:rsid w:val="000C71E8"/>
    <w:rsid w:val="000C73CD"/>
    <w:rsid w:val="000D06C0"/>
    <w:rsid w:val="000D0B80"/>
    <w:rsid w:val="000D1866"/>
    <w:rsid w:val="000D1E57"/>
    <w:rsid w:val="000D7110"/>
    <w:rsid w:val="000D7B67"/>
    <w:rsid w:val="000D7C6E"/>
    <w:rsid w:val="000E0A8A"/>
    <w:rsid w:val="000E1C20"/>
    <w:rsid w:val="000E328C"/>
    <w:rsid w:val="000E3621"/>
    <w:rsid w:val="000E4BE9"/>
    <w:rsid w:val="000E5196"/>
    <w:rsid w:val="000F06C3"/>
    <w:rsid w:val="000F64F4"/>
    <w:rsid w:val="000F6885"/>
    <w:rsid w:val="00100524"/>
    <w:rsid w:val="001010C1"/>
    <w:rsid w:val="00101AEB"/>
    <w:rsid w:val="00101B69"/>
    <w:rsid w:val="00103DA9"/>
    <w:rsid w:val="00104F2F"/>
    <w:rsid w:val="0010613F"/>
    <w:rsid w:val="00106C0D"/>
    <w:rsid w:val="0010777B"/>
    <w:rsid w:val="001120AB"/>
    <w:rsid w:val="00112384"/>
    <w:rsid w:val="001151BF"/>
    <w:rsid w:val="0012399D"/>
    <w:rsid w:val="00126670"/>
    <w:rsid w:val="00127057"/>
    <w:rsid w:val="00127F99"/>
    <w:rsid w:val="00130260"/>
    <w:rsid w:val="0013090F"/>
    <w:rsid w:val="00131F4D"/>
    <w:rsid w:val="00132006"/>
    <w:rsid w:val="00132FFF"/>
    <w:rsid w:val="0013301C"/>
    <w:rsid w:val="001378D8"/>
    <w:rsid w:val="001379FF"/>
    <w:rsid w:val="00141811"/>
    <w:rsid w:val="001422D1"/>
    <w:rsid w:val="00144E75"/>
    <w:rsid w:val="00146D5D"/>
    <w:rsid w:val="00150C20"/>
    <w:rsid w:val="00154373"/>
    <w:rsid w:val="00154B4D"/>
    <w:rsid w:val="00154FA7"/>
    <w:rsid w:val="00156270"/>
    <w:rsid w:val="00161077"/>
    <w:rsid w:val="00161241"/>
    <w:rsid w:val="001614C4"/>
    <w:rsid w:val="00161F71"/>
    <w:rsid w:val="00164078"/>
    <w:rsid w:val="0016525A"/>
    <w:rsid w:val="00165BCD"/>
    <w:rsid w:val="00166549"/>
    <w:rsid w:val="0016795E"/>
    <w:rsid w:val="00171189"/>
    <w:rsid w:val="001712CC"/>
    <w:rsid w:val="00171B2C"/>
    <w:rsid w:val="00175B2B"/>
    <w:rsid w:val="00175EDE"/>
    <w:rsid w:val="00176476"/>
    <w:rsid w:val="00182307"/>
    <w:rsid w:val="00182CA3"/>
    <w:rsid w:val="00184339"/>
    <w:rsid w:val="00187B77"/>
    <w:rsid w:val="00191311"/>
    <w:rsid w:val="00192F99"/>
    <w:rsid w:val="00193901"/>
    <w:rsid w:val="00193EC0"/>
    <w:rsid w:val="00194553"/>
    <w:rsid w:val="00196E00"/>
    <w:rsid w:val="00196F94"/>
    <w:rsid w:val="001A01EE"/>
    <w:rsid w:val="001A1631"/>
    <w:rsid w:val="001A1954"/>
    <w:rsid w:val="001A3703"/>
    <w:rsid w:val="001A7500"/>
    <w:rsid w:val="001A7F6F"/>
    <w:rsid w:val="001B33F7"/>
    <w:rsid w:val="001B3601"/>
    <w:rsid w:val="001B6ACB"/>
    <w:rsid w:val="001C1162"/>
    <w:rsid w:val="001C19BB"/>
    <w:rsid w:val="001C2F1D"/>
    <w:rsid w:val="001C4721"/>
    <w:rsid w:val="001C54C1"/>
    <w:rsid w:val="001C76A6"/>
    <w:rsid w:val="001C7E2B"/>
    <w:rsid w:val="001D2851"/>
    <w:rsid w:val="001D2880"/>
    <w:rsid w:val="001D457F"/>
    <w:rsid w:val="001D4DAB"/>
    <w:rsid w:val="001D5BCE"/>
    <w:rsid w:val="001D63D7"/>
    <w:rsid w:val="001D7906"/>
    <w:rsid w:val="001D79F4"/>
    <w:rsid w:val="001E11AA"/>
    <w:rsid w:val="001E1B61"/>
    <w:rsid w:val="001E5205"/>
    <w:rsid w:val="001E5E88"/>
    <w:rsid w:val="001E693B"/>
    <w:rsid w:val="001E7E6D"/>
    <w:rsid w:val="001F139D"/>
    <w:rsid w:val="001F2024"/>
    <w:rsid w:val="001F202F"/>
    <w:rsid w:val="001F3727"/>
    <w:rsid w:val="002015C5"/>
    <w:rsid w:val="002016B0"/>
    <w:rsid w:val="00201AEF"/>
    <w:rsid w:val="00204B9E"/>
    <w:rsid w:val="002075DB"/>
    <w:rsid w:val="00211AA4"/>
    <w:rsid w:val="00211DD0"/>
    <w:rsid w:val="00211FFE"/>
    <w:rsid w:val="0021305E"/>
    <w:rsid w:val="0021434B"/>
    <w:rsid w:val="00221C90"/>
    <w:rsid w:val="0022300E"/>
    <w:rsid w:val="00224178"/>
    <w:rsid w:val="00224F00"/>
    <w:rsid w:val="002250AE"/>
    <w:rsid w:val="00225C74"/>
    <w:rsid w:val="00230471"/>
    <w:rsid w:val="00230980"/>
    <w:rsid w:val="00232208"/>
    <w:rsid w:val="002331BA"/>
    <w:rsid w:val="00237693"/>
    <w:rsid w:val="00242C98"/>
    <w:rsid w:val="00247658"/>
    <w:rsid w:val="00252D50"/>
    <w:rsid w:val="00254FEE"/>
    <w:rsid w:val="002552E5"/>
    <w:rsid w:val="00255806"/>
    <w:rsid w:val="00261231"/>
    <w:rsid w:val="00262196"/>
    <w:rsid w:val="00262DA1"/>
    <w:rsid w:val="00265167"/>
    <w:rsid w:val="0026705A"/>
    <w:rsid w:val="00270AB5"/>
    <w:rsid w:val="002712FF"/>
    <w:rsid w:val="00273C7A"/>
    <w:rsid w:val="00274F17"/>
    <w:rsid w:val="00277276"/>
    <w:rsid w:val="00277FBC"/>
    <w:rsid w:val="00281CEA"/>
    <w:rsid w:val="002833FB"/>
    <w:rsid w:val="00283B92"/>
    <w:rsid w:val="00284B66"/>
    <w:rsid w:val="00285A15"/>
    <w:rsid w:val="00285C82"/>
    <w:rsid w:val="00291CFB"/>
    <w:rsid w:val="00293169"/>
    <w:rsid w:val="00294CE1"/>
    <w:rsid w:val="00294D75"/>
    <w:rsid w:val="0029640E"/>
    <w:rsid w:val="002A1D21"/>
    <w:rsid w:val="002A2792"/>
    <w:rsid w:val="002A5E21"/>
    <w:rsid w:val="002B496F"/>
    <w:rsid w:val="002B4BF7"/>
    <w:rsid w:val="002B6020"/>
    <w:rsid w:val="002C17C8"/>
    <w:rsid w:val="002C4AF0"/>
    <w:rsid w:val="002D23D2"/>
    <w:rsid w:val="002D3164"/>
    <w:rsid w:val="002D3A03"/>
    <w:rsid w:val="002D48B5"/>
    <w:rsid w:val="002D4D56"/>
    <w:rsid w:val="002D6C3E"/>
    <w:rsid w:val="002D72EF"/>
    <w:rsid w:val="002E0800"/>
    <w:rsid w:val="002E1ED9"/>
    <w:rsid w:val="002E2C9E"/>
    <w:rsid w:val="002E3278"/>
    <w:rsid w:val="002E4A50"/>
    <w:rsid w:val="002E4EC1"/>
    <w:rsid w:val="002E70C7"/>
    <w:rsid w:val="002F1119"/>
    <w:rsid w:val="002F1204"/>
    <w:rsid w:val="002F2676"/>
    <w:rsid w:val="002F28D9"/>
    <w:rsid w:val="002F3505"/>
    <w:rsid w:val="002F3898"/>
    <w:rsid w:val="002F5B95"/>
    <w:rsid w:val="002F614F"/>
    <w:rsid w:val="003003EE"/>
    <w:rsid w:val="00304798"/>
    <w:rsid w:val="003075C9"/>
    <w:rsid w:val="00307D78"/>
    <w:rsid w:val="00310A70"/>
    <w:rsid w:val="00312B44"/>
    <w:rsid w:val="00312D62"/>
    <w:rsid w:val="00313A86"/>
    <w:rsid w:val="003147CD"/>
    <w:rsid w:val="003149F6"/>
    <w:rsid w:val="00317D30"/>
    <w:rsid w:val="003200BD"/>
    <w:rsid w:val="00320698"/>
    <w:rsid w:val="0032176E"/>
    <w:rsid w:val="0032287B"/>
    <w:rsid w:val="003228D1"/>
    <w:rsid w:val="00325631"/>
    <w:rsid w:val="003267B8"/>
    <w:rsid w:val="00327C1A"/>
    <w:rsid w:val="0033165C"/>
    <w:rsid w:val="00332BBA"/>
    <w:rsid w:val="00333941"/>
    <w:rsid w:val="00335696"/>
    <w:rsid w:val="0034023C"/>
    <w:rsid w:val="0034161F"/>
    <w:rsid w:val="00343F14"/>
    <w:rsid w:val="003449C6"/>
    <w:rsid w:val="003453B2"/>
    <w:rsid w:val="003527C9"/>
    <w:rsid w:val="003535B8"/>
    <w:rsid w:val="00353672"/>
    <w:rsid w:val="00354A53"/>
    <w:rsid w:val="00357A8C"/>
    <w:rsid w:val="003624C8"/>
    <w:rsid w:val="00364162"/>
    <w:rsid w:val="00364720"/>
    <w:rsid w:val="00365106"/>
    <w:rsid w:val="00371208"/>
    <w:rsid w:val="00371CAC"/>
    <w:rsid w:val="003723B4"/>
    <w:rsid w:val="00373958"/>
    <w:rsid w:val="00375138"/>
    <w:rsid w:val="00376B37"/>
    <w:rsid w:val="003777BC"/>
    <w:rsid w:val="00377AEE"/>
    <w:rsid w:val="00383CFF"/>
    <w:rsid w:val="0038617E"/>
    <w:rsid w:val="00386EC9"/>
    <w:rsid w:val="00387B02"/>
    <w:rsid w:val="00394591"/>
    <w:rsid w:val="003A27DD"/>
    <w:rsid w:val="003A3C9A"/>
    <w:rsid w:val="003A4161"/>
    <w:rsid w:val="003A49C5"/>
    <w:rsid w:val="003A4E31"/>
    <w:rsid w:val="003A5A3D"/>
    <w:rsid w:val="003B03E2"/>
    <w:rsid w:val="003B1905"/>
    <w:rsid w:val="003B241E"/>
    <w:rsid w:val="003B538E"/>
    <w:rsid w:val="003B6CBF"/>
    <w:rsid w:val="003B7B2C"/>
    <w:rsid w:val="003C6501"/>
    <w:rsid w:val="003C67A3"/>
    <w:rsid w:val="003C7107"/>
    <w:rsid w:val="003D54A8"/>
    <w:rsid w:val="003D6E27"/>
    <w:rsid w:val="003D6ED9"/>
    <w:rsid w:val="003E1DD5"/>
    <w:rsid w:val="003E1F53"/>
    <w:rsid w:val="003E50B5"/>
    <w:rsid w:val="003E5950"/>
    <w:rsid w:val="003E628B"/>
    <w:rsid w:val="003E70FC"/>
    <w:rsid w:val="003F0AA3"/>
    <w:rsid w:val="003F10E3"/>
    <w:rsid w:val="003F4075"/>
    <w:rsid w:val="003F6D44"/>
    <w:rsid w:val="003F7806"/>
    <w:rsid w:val="004032B2"/>
    <w:rsid w:val="004067F6"/>
    <w:rsid w:val="004100DE"/>
    <w:rsid w:val="00411815"/>
    <w:rsid w:val="004123A8"/>
    <w:rsid w:val="004143E1"/>
    <w:rsid w:val="00414458"/>
    <w:rsid w:val="004173F9"/>
    <w:rsid w:val="0041794A"/>
    <w:rsid w:val="00421FFB"/>
    <w:rsid w:val="004257B1"/>
    <w:rsid w:val="00427A4B"/>
    <w:rsid w:val="00430115"/>
    <w:rsid w:val="004335B7"/>
    <w:rsid w:val="0043374F"/>
    <w:rsid w:val="00433CB9"/>
    <w:rsid w:val="004468CD"/>
    <w:rsid w:val="00452131"/>
    <w:rsid w:val="00455679"/>
    <w:rsid w:val="004564DC"/>
    <w:rsid w:val="004572A9"/>
    <w:rsid w:val="00460F3B"/>
    <w:rsid w:val="00461734"/>
    <w:rsid w:val="00463734"/>
    <w:rsid w:val="00463765"/>
    <w:rsid w:val="00464587"/>
    <w:rsid w:val="00466E97"/>
    <w:rsid w:val="00470963"/>
    <w:rsid w:val="00474143"/>
    <w:rsid w:val="00477ADC"/>
    <w:rsid w:val="00477E32"/>
    <w:rsid w:val="00482592"/>
    <w:rsid w:val="00484CBA"/>
    <w:rsid w:val="00485E08"/>
    <w:rsid w:val="00491B6A"/>
    <w:rsid w:val="00493A22"/>
    <w:rsid w:val="00496B2F"/>
    <w:rsid w:val="004A304D"/>
    <w:rsid w:val="004A4BB7"/>
    <w:rsid w:val="004A6481"/>
    <w:rsid w:val="004B2AD8"/>
    <w:rsid w:val="004B4ED6"/>
    <w:rsid w:val="004B52B9"/>
    <w:rsid w:val="004B6C4A"/>
    <w:rsid w:val="004B6D19"/>
    <w:rsid w:val="004B7CD0"/>
    <w:rsid w:val="004C163E"/>
    <w:rsid w:val="004C33D5"/>
    <w:rsid w:val="004C798D"/>
    <w:rsid w:val="004D1673"/>
    <w:rsid w:val="004D3765"/>
    <w:rsid w:val="004E3CF4"/>
    <w:rsid w:val="004E41EA"/>
    <w:rsid w:val="004E48B3"/>
    <w:rsid w:val="004E6F34"/>
    <w:rsid w:val="004F22FA"/>
    <w:rsid w:val="004F3143"/>
    <w:rsid w:val="004F4B09"/>
    <w:rsid w:val="004F750A"/>
    <w:rsid w:val="004F7BF2"/>
    <w:rsid w:val="00501959"/>
    <w:rsid w:val="005022EF"/>
    <w:rsid w:val="00502AED"/>
    <w:rsid w:val="00503496"/>
    <w:rsid w:val="005036F8"/>
    <w:rsid w:val="005048C4"/>
    <w:rsid w:val="00511B22"/>
    <w:rsid w:val="005176C5"/>
    <w:rsid w:val="0052050E"/>
    <w:rsid w:val="00523616"/>
    <w:rsid w:val="00525083"/>
    <w:rsid w:val="0052709C"/>
    <w:rsid w:val="005279D0"/>
    <w:rsid w:val="00534362"/>
    <w:rsid w:val="00536C57"/>
    <w:rsid w:val="005372AF"/>
    <w:rsid w:val="00537EEB"/>
    <w:rsid w:val="005418B6"/>
    <w:rsid w:val="0054393C"/>
    <w:rsid w:val="00544203"/>
    <w:rsid w:val="00544491"/>
    <w:rsid w:val="00546925"/>
    <w:rsid w:val="00547E3D"/>
    <w:rsid w:val="00554D6A"/>
    <w:rsid w:val="00555B51"/>
    <w:rsid w:val="00560AF2"/>
    <w:rsid w:val="00560E16"/>
    <w:rsid w:val="00561C3F"/>
    <w:rsid w:val="00565EDB"/>
    <w:rsid w:val="00570B88"/>
    <w:rsid w:val="00571962"/>
    <w:rsid w:val="00571D25"/>
    <w:rsid w:val="005735EF"/>
    <w:rsid w:val="005757E3"/>
    <w:rsid w:val="0057645C"/>
    <w:rsid w:val="00576D8C"/>
    <w:rsid w:val="00577994"/>
    <w:rsid w:val="005829AA"/>
    <w:rsid w:val="00583DE3"/>
    <w:rsid w:val="00586509"/>
    <w:rsid w:val="00587E4C"/>
    <w:rsid w:val="00590CC2"/>
    <w:rsid w:val="00590E3A"/>
    <w:rsid w:val="0059314F"/>
    <w:rsid w:val="0059460F"/>
    <w:rsid w:val="0059533B"/>
    <w:rsid w:val="005A04FF"/>
    <w:rsid w:val="005A1681"/>
    <w:rsid w:val="005A3525"/>
    <w:rsid w:val="005A4252"/>
    <w:rsid w:val="005A46E2"/>
    <w:rsid w:val="005A578B"/>
    <w:rsid w:val="005A58A8"/>
    <w:rsid w:val="005A61DA"/>
    <w:rsid w:val="005A6C2F"/>
    <w:rsid w:val="005A7277"/>
    <w:rsid w:val="005B05D8"/>
    <w:rsid w:val="005B08F4"/>
    <w:rsid w:val="005B1F54"/>
    <w:rsid w:val="005B3D4C"/>
    <w:rsid w:val="005B4EF8"/>
    <w:rsid w:val="005B7122"/>
    <w:rsid w:val="005C0431"/>
    <w:rsid w:val="005C5884"/>
    <w:rsid w:val="005C5BAB"/>
    <w:rsid w:val="005C5D8A"/>
    <w:rsid w:val="005C64DD"/>
    <w:rsid w:val="005C6924"/>
    <w:rsid w:val="005C7FAC"/>
    <w:rsid w:val="005D0856"/>
    <w:rsid w:val="005D131D"/>
    <w:rsid w:val="005D19AC"/>
    <w:rsid w:val="005D5DB9"/>
    <w:rsid w:val="005D6141"/>
    <w:rsid w:val="005E0C05"/>
    <w:rsid w:val="005E2F8C"/>
    <w:rsid w:val="005E3BDC"/>
    <w:rsid w:val="005E4D7C"/>
    <w:rsid w:val="005E50FB"/>
    <w:rsid w:val="005E61E6"/>
    <w:rsid w:val="005F19D5"/>
    <w:rsid w:val="005F21A3"/>
    <w:rsid w:val="005F269E"/>
    <w:rsid w:val="005F2F20"/>
    <w:rsid w:val="005F42E0"/>
    <w:rsid w:val="005F4BAF"/>
    <w:rsid w:val="005F5D6D"/>
    <w:rsid w:val="005F6C59"/>
    <w:rsid w:val="005F7817"/>
    <w:rsid w:val="0060072D"/>
    <w:rsid w:val="00605BC6"/>
    <w:rsid w:val="00610A13"/>
    <w:rsid w:val="00610BFE"/>
    <w:rsid w:val="00610C75"/>
    <w:rsid w:val="00611253"/>
    <w:rsid w:val="00611567"/>
    <w:rsid w:val="00611EF0"/>
    <w:rsid w:val="00612F5F"/>
    <w:rsid w:val="006137C4"/>
    <w:rsid w:val="006159BC"/>
    <w:rsid w:val="006159EC"/>
    <w:rsid w:val="00616ED2"/>
    <w:rsid w:val="006202FB"/>
    <w:rsid w:val="00622518"/>
    <w:rsid w:val="00626D84"/>
    <w:rsid w:val="0063041D"/>
    <w:rsid w:val="00630553"/>
    <w:rsid w:val="006307A8"/>
    <w:rsid w:val="00631862"/>
    <w:rsid w:val="00632AD0"/>
    <w:rsid w:val="006348AF"/>
    <w:rsid w:val="00634E82"/>
    <w:rsid w:val="006401D2"/>
    <w:rsid w:val="00645D27"/>
    <w:rsid w:val="006461AA"/>
    <w:rsid w:val="0065053F"/>
    <w:rsid w:val="006506E8"/>
    <w:rsid w:val="00652008"/>
    <w:rsid w:val="00653E20"/>
    <w:rsid w:val="00654909"/>
    <w:rsid w:val="00654A38"/>
    <w:rsid w:val="00655173"/>
    <w:rsid w:val="00655F51"/>
    <w:rsid w:val="006608DD"/>
    <w:rsid w:val="006621DA"/>
    <w:rsid w:val="00662F7D"/>
    <w:rsid w:val="006642D3"/>
    <w:rsid w:val="00672A1E"/>
    <w:rsid w:val="00674AAC"/>
    <w:rsid w:val="0067685E"/>
    <w:rsid w:val="006805F3"/>
    <w:rsid w:val="00682B28"/>
    <w:rsid w:val="006833A0"/>
    <w:rsid w:val="006840F2"/>
    <w:rsid w:val="0068602C"/>
    <w:rsid w:val="00691BE5"/>
    <w:rsid w:val="006932DA"/>
    <w:rsid w:val="00693A3D"/>
    <w:rsid w:val="00697BA0"/>
    <w:rsid w:val="006A129A"/>
    <w:rsid w:val="006A1D21"/>
    <w:rsid w:val="006A2A84"/>
    <w:rsid w:val="006A3E63"/>
    <w:rsid w:val="006B1628"/>
    <w:rsid w:val="006B1880"/>
    <w:rsid w:val="006B2A94"/>
    <w:rsid w:val="006B31CA"/>
    <w:rsid w:val="006B666E"/>
    <w:rsid w:val="006C3185"/>
    <w:rsid w:val="006C5294"/>
    <w:rsid w:val="006D0AF4"/>
    <w:rsid w:val="006D1170"/>
    <w:rsid w:val="006D3927"/>
    <w:rsid w:val="006E1ABE"/>
    <w:rsid w:val="006E3F27"/>
    <w:rsid w:val="006F2A43"/>
    <w:rsid w:val="006F34F4"/>
    <w:rsid w:val="006F5A7F"/>
    <w:rsid w:val="006F60C9"/>
    <w:rsid w:val="006F7321"/>
    <w:rsid w:val="00700719"/>
    <w:rsid w:val="007012A6"/>
    <w:rsid w:val="00704656"/>
    <w:rsid w:val="00704A48"/>
    <w:rsid w:val="00704C6D"/>
    <w:rsid w:val="007064FA"/>
    <w:rsid w:val="00706D83"/>
    <w:rsid w:val="00711837"/>
    <w:rsid w:val="00711D7B"/>
    <w:rsid w:val="00712623"/>
    <w:rsid w:val="007127C1"/>
    <w:rsid w:val="00713A0D"/>
    <w:rsid w:val="00715C11"/>
    <w:rsid w:val="007177A4"/>
    <w:rsid w:val="00717C6E"/>
    <w:rsid w:val="00721853"/>
    <w:rsid w:val="007222EC"/>
    <w:rsid w:val="007258E5"/>
    <w:rsid w:val="00726534"/>
    <w:rsid w:val="007276DC"/>
    <w:rsid w:val="0072771A"/>
    <w:rsid w:val="00730B34"/>
    <w:rsid w:val="00732E15"/>
    <w:rsid w:val="00741953"/>
    <w:rsid w:val="00742332"/>
    <w:rsid w:val="007441A0"/>
    <w:rsid w:val="007462C8"/>
    <w:rsid w:val="00746CCB"/>
    <w:rsid w:val="00746DE7"/>
    <w:rsid w:val="007476A4"/>
    <w:rsid w:val="00753535"/>
    <w:rsid w:val="00753828"/>
    <w:rsid w:val="00757738"/>
    <w:rsid w:val="0075774E"/>
    <w:rsid w:val="0076078C"/>
    <w:rsid w:val="0076087F"/>
    <w:rsid w:val="007608D8"/>
    <w:rsid w:val="00761573"/>
    <w:rsid w:val="00761627"/>
    <w:rsid w:val="007654ED"/>
    <w:rsid w:val="00767622"/>
    <w:rsid w:val="00771710"/>
    <w:rsid w:val="00772472"/>
    <w:rsid w:val="007733A2"/>
    <w:rsid w:val="00775127"/>
    <w:rsid w:val="00776335"/>
    <w:rsid w:val="007775E5"/>
    <w:rsid w:val="00780B2C"/>
    <w:rsid w:val="007818B6"/>
    <w:rsid w:val="00785C14"/>
    <w:rsid w:val="00786060"/>
    <w:rsid w:val="0079755E"/>
    <w:rsid w:val="007A1CB9"/>
    <w:rsid w:val="007A3351"/>
    <w:rsid w:val="007A3ADE"/>
    <w:rsid w:val="007A6A37"/>
    <w:rsid w:val="007B097A"/>
    <w:rsid w:val="007B1209"/>
    <w:rsid w:val="007B1539"/>
    <w:rsid w:val="007B242B"/>
    <w:rsid w:val="007B4E7D"/>
    <w:rsid w:val="007B6649"/>
    <w:rsid w:val="007C1CEB"/>
    <w:rsid w:val="007C1FEB"/>
    <w:rsid w:val="007C29C6"/>
    <w:rsid w:val="007C3185"/>
    <w:rsid w:val="007C5911"/>
    <w:rsid w:val="007C5A19"/>
    <w:rsid w:val="007C5D46"/>
    <w:rsid w:val="007C6AB7"/>
    <w:rsid w:val="007C6F6E"/>
    <w:rsid w:val="007C7880"/>
    <w:rsid w:val="007D05D3"/>
    <w:rsid w:val="007D1CB1"/>
    <w:rsid w:val="007D302F"/>
    <w:rsid w:val="007D63DD"/>
    <w:rsid w:val="007D6654"/>
    <w:rsid w:val="007D7C3B"/>
    <w:rsid w:val="007E12A6"/>
    <w:rsid w:val="007E45E9"/>
    <w:rsid w:val="007E6B82"/>
    <w:rsid w:val="007E6D1D"/>
    <w:rsid w:val="007F2D14"/>
    <w:rsid w:val="007F44A7"/>
    <w:rsid w:val="007F4BBD"/>
    <w:rsid w:val="007F4CAD"/>
    <w:rsid w:val="007F4E25"/>
    <w:rsid w:val="008051B1"/>
    <w:rsid w:val="008058C8"/>
    <w:rsid w:val="00810D2F"/>
    <w:rsid w:val="00815697"/>
    <w:rsid w:val="0081601B"/>
    <w:rsid w:val="00816A06"/>
    <w:rsid w:val="008221FF"/>
    <w:rsid w:val="00824A5C"/>
    <w:rsid w:val="00827A7E"/>
    <w:rsid w:val="00827CDE"/>
    <w:rsid w:val="00834337"/>
    <w:rsid w:val="008368FE"/>
    <w:rsid w:val="0084154B"/>
    <w:rsid w:val="00845E97"/>
    <w:rsid w:val="0085069D"/>
    <w:rsid w:val="00850C24"/>
    <w:rsid w:val="00851418"/>
    <w:rsid w:val="00854234"/>
    <w:rsid w:val="00854D4B"/>
    <w:rsid w:val="00854D68"/>
    <w:rsid w:val="00856656"/>
    <w:rsid w:val="00857AA5"/>
    <w:rsid w:val="00860003"/>
    <w:rsid w:val="008605A4"/>
    <w:rsid w:val="008607BD"/>
    <w:rsid w:val="00863641"/>
    <w:rsid w:val="00866572"/>
    <w:rsid w:val="0086797E"/>
    <w:rsid w:val="00872445"/>
    <w:rsid w:val="00873EE0"/>
    <w:rsid w:val="00877191"/>
    <w:rsid w:val="008910F0"/>
    <w:rsid w:val="00891469"/>
    <w:rsid w:val="00892312"/>
    <w:rsid w:val="00895008"/>
    <w:rsid w:val="00896198"/>
    <w:rsid w:val="008A04BE"/>
    <w:rsid w:val="008A11B7"/>
    <w:rsid w:val="008A2E0E"/>
    <w:rsid w:val="008A443C"/>
    <w:rsid w:val="008B092C"/>
    <w:rsid w:val="008B0939"/>
    <w:rsid w:val="008B220A"/>
    <w:rsid w:val="008B3871"/>
    <w:rsid w:val="008B4C89"/>
    <w:rsid w:val="008B4E2E"/>
    <w:rsid w:val="008B4F29"/>
    <w:rsid w:val="008B5100"/>
    <w:rsid w:val="008B73A7"/>
    <w:rsid w:val="008B754E"/>
    <w:rsid w:val="008C0562"/>
    <w:rsid w:val="008C0F6A"/>
    <w:rsid w:val="008C1F79"/>
    <w:rsid w:val="008D22F7"/>
    <w:rsid w:val="008D570C"/>
    <w:rsid w:val="008E01A3"/>
    <w:rsid w:val="008E1E9A"/>
    <w:rsid w:val="008E6522"/>
    <w:rsid w:val="008E6D08"/>
    <w:rsid w:val="008E7A59"/>
    <w:rsid w:val="008F295A"/>
    <w:rsid w:val="008F36AA"/>
    <w:rsid w:val="008F3FEC"/>
    <w:rsid w:val="008F579C"/>
    <w:rsid w:val="008F5EAA"/>
    <w:rsid w:val="008F75E0"/>
    <w:rsid w:val="008F76BA"/>
    <w:rsid w:val="0090117F"/>
    <w:rsid w:val="00901B47"/>
    <w:rsid w:val="00901E5F"/>
    <w:rsid w:val="00903341"/>
    <w:rsid w:val="00904AC4"/>
    <w:rsid w:val="0090596F"/>
    <w:rsid w:val="00906D0D"/>
    <w:rsid w:val="0090765A"/>
    <w:rsid w:val="00914310"/>
    <w:rsid w:val="00915AE6"/>
    <w:rsid w:val="00920473"/>
    <w:rsid w:val="0092110E"/>
    <w:rsid w:val="00921E27"/>
    <w:rsid w:val="0092463B"/>
    <w:rsid w:val="0092560D"/>
    <w:rsid w:val="00926408"/>
    <w:rsid w:val="009271ED"/>
    <w:rsid w:val="009329FE"/>
    <w:rsid w:val="0093406E"/>
    <w:rsid w:val="009358B4"/>
    <w:rsid w:val="00935ED4"/>
    <w:rsid w:val="00940A14"/>
    <w:rsid w:val="0094122E"/>
    <w:rsid w:val="0094169B"/>
    <w:rsid w:val="00942565"/>
    <w:rsid w:val="00943F07"/>
    <w:rsid w:val="0094672F"/>
    <w:rsid w:val="00946858"/>
    <w:rsid w:val="00946D3B"/>
    <w:rsid w:val="009474DD"/>
    <w:rsid w:val="009512CA"/>
    <w:rsid w:val="009526C4"/>
    <w:rsid w:val="009534D3"/>
    <w:rsid w:val="009534E9"/>
    <w:rsid w:val="00955EBA"/>
    <w:rsid w:val="0096157E"/>
    <w:rsid w:val="00962DFB"/>
    <w:rsid w:val="009630E2"/>
    <w:rsid w:val="0096354A"/>
    <w:rsid w:val="00963B1D"/>
    <w:rsid w:val="00964F62"/>
    <w:rsid w:val="009700E2"/>
    <w:rsid w:val="00970E29"/>
    <w:rsid w:val="00984897"/>
    <w:rsid w:val="00984FDD"/>
    <w:rsid w:val="00985A01"/>
    <w:rsid w:val="009879D2"/>
    <w:rsid w:val="00987A81"/>
    <w:rsid w:val="009909E8"/>
    <w:rsid w:val="00991651"/>
    <w:rsid w:val="00991F62"/>
    <w:rsid w:val="00993690"/>
    <w:rsid w:val="00994A4E"/>
    <w:rsid w:val="00994B9C"/>
    <w:rsid w:val="009A0632"/>
    <w:rsid w:val="009A26BF"/>
    <w:rsid w:val="009A3316"/>
    <w:rsid w:val="009A4DCA"/>
    <w:rsid w:val="009A79DA"/>
    <w:rsid w:val="009B07C1"/>
    <w:rsid w:val="009B081C"/>
    <w:rsid w:val="009B35DD"/>
    <w:rsid w:val="009B7239"/>
    <w:rsid w:val="009C4F48"/>
    <w:rsid w:val="009C69A9"/>
    <w:rsid w:val="009C79B8"/>
    <w:rsid w:val="009D0C1E"/>
    <w:rsid w:val="009D0E66"/>
    <w:rsid w:val="009D2AB5"/>
    <w:rsid w:val="009D3EBD"/>
    <w:rsid w:val="009D5D45"/>
    <w:rsid w:val="009D6932"/>
    <w:rsid w:val="009E27F4"/>
    <w:rsid w:val="009E42AC"/>
    <w:rsid w:val="009E6014"/>
    <w:rsid w:val="009E6D05"/>
    <w:rsid w:val="009F1221"/>
    <w:rsid w:val="009F19CF"/>
    <w:rsid w:val="009F355D"/>
    <w:rsid w:val="009F3C94"/>
    <w:rsid w:val="009F3CD3"/>
    <w:rsid w:val="009F4F75"/>
    <w:rsid w:val="00A0649E"/>
    <w:rsid w:val="00A15F61"/>
    <w:rsid w:val="00A16FBA"/>
    <w:rsid w:val="00A20825"/>
    <w:rsid w:val="00A2245C"/>
    <w:rsid w:val="00A247F9"/>
    <w:rsid w:val="00A25209"/>
    <w:rsid w:val="00A26905"/>
    <w:rsid w:val="00A303FA"/>
    <w:rsid w:val="00A31186"/>
    <w:rsid w:val="00A34900"/>
    <w:rsid w:val="00A34B15"/>
    <w:rsid w:val="00A35075"/>
    <w:rsid w:val="00A40C6E"/>
    <w:rsid w:val="00A41C76"/>
    <w:rsid w:val="00A45371"/>
    <w:rsid w:val="00A455D9"/>
    <w:rsid w:val="00A46F7A"/>
    <w:rsid w:val="00A50FBF"/>
    <w:rsid w:val="00A510A9"/>
    <w:rsid w:val="00A530E4"/>
    <w:rsid w:val="00A569FD"/>
    <w:rsid w:val="00A571CB"/>
    <w:rsid w:val="00A57458"/>
    <w:rsid w:val="00A60774"/>
    <w:rsid w:val="00A717DA"/>
    <w:rsid w:val="00A744F9"/>
    <w:rsid w:val="00A75C07"/>
    <w:rsid w:val="00A7628F"/>
    <w:rsid w:val="00A7778D"/>
    <w:rsid w:val="00A779DC"/>
    <w:rsid w:val="00A84C83"/>
    <w:rsid w:val="00A86BAC"/>
    <w:rsid w:val="00A87466"/>
    <w:rsid w:val="00A91F75"/>
    <w:rsid w:val="00A92B70"/>
    <w:rsid w:val="00A94A80"/>
    <w:rsid w:val="00A9536D"/>
    <w:rsid w:val="00A9650C"/>
    <w:rsid w:val="00A96E9F"/>
    <w:rsid w:val="00AA0C0D"/>
    <w:rsid w:val="00AA1F46"/>
    <w:rsid w:val="00AA3441"/>
    <w:rsid w:val="00AA375E"/>
    <w:rsid w:val="00AA7203"/>
    <w:rsid w:val="00AB087B"/>
    <w:rsid w:val="00AB0B79"/>
    <w:rsid w:val="00AB0E9E"/>
    <w:rsid w:val="00AB1309"/>
    <w:rsid w:val="00AB146B"/>
    <w:rsid w:val="00AB1ABE"/>
    <w:rsid w:val="00AB2A7A"/>
    <w:rsid w:val="00AB30B6"/>
    <w:rsid w:val="00AB6F5F"/>
    <w:rsid w:val="00AC0875"/>
    <w:rsid w:val="00AC0DEE"/>
    <w:rsid w:val="00AC2AE7"/>
    <w:rsid w:val="00AC321A"/>
    <w:rsid w:val="00AC338F"/>
    <w:rsid w:val="00AC3B4E"/>
    <w:rsid w:val="00AC4B7B"/>
    <w:rsid w:val="00AD1A33"/>
    <w:rsid w:val="00AD4467"/>
    <w:rsid w:val="00AE175F"/>
    <w:rsid w:val="00AE21C8"/>
    <w:rsid w:val="00AE3089"/>
    <w:rsid w:val="00AE54BE"/>
    <w:rsid w:val="00AE607D"/>
    <w:rsid w:val="00AE7504"/>
    <w:rsid w:val="00AE7B8B"/>
    <w:rsid w:val="00AE7FEB"/>
    <w:rsid w:val="00AF0126"/>
    <w:rsid w:val="00AF037A"/>
    <w:rsid w:val="00AF0CC0"/>
    <w:rsid w:val="00AF0D64"/>
    <w:rsid w:val="00AF18B9"/>
    <w:rsid w:val="00AF25F5"/>
    <w:rsid w:val="00AF47A8"/>
    <w:rsid w:val="00AF4C93"/>
    <w:rsid w:val="00B02427"/>
    <w:rsid w:val="00B0535D"/>
    <w:rsid w:val="00B05B61"/>
    <w:rsid w:val="00B06FCC"/>
    <w:rsid w:val="00B119C8"/>
    <w:rsid w:val="00B1256A"/>
    <w:rsid w:val="00B14E8D"/>
    <w:rsid w:val="00B229DE"/>
    <w:rsid w:val="00B23B4E"/>
    <w:rsid w:val="00B25428"/>
    <w:rsid w:val="00B301BF"/>
    <w:rsid w:val="00B307FA"/>
    <w:rsid w:val="00B31937"/>
    <w:rsid w:val="00B35A66"/>
    <w:rsid w:val="00B35E7F"/>
    <w:rsid w:val="00B360D5"/>
    <w:rsid w:val="00B37C9C"/>
    <w:rsid w:val="00B40D3F"/>
    <w:rsid w:val="00B435DE"/>
    <w:rsid w:val="00B44116"/>
    <w:rsid w:val="00B467E2"/>
    <w:rsid w:val="00B47CEB"/>
    <w:rsid w:val="00B51504"/>
    <w:rsid w:val="00B5347E"/>
    <w:rsid w:val="00B53F51"/>
    <w:rsid w:val="00B545C2"/>
    <w:rsid w:val="00B55CB0"/>
    <w:rsid w:val="00B617D3"/>
    <w:rsid w:val="00B62D9D"/>
    <w:rsid w:val="00B63EC3"/>
    <w:rsid w:val="00B6461B"/>
    <w:rsid w:val="00B648E1"/>
    <w:rsid w:val="00B729F4"/>
    <w:rsid w:val="00B73AB0"/>
    <w:rsid w:val="00B77CAE"/>
    <w:rsid w:val="00B821B0"/>
    <w:rsid w:val="00B82580"/>
    <w:rsid w:val="00B83868"/>
    <w:rsid w:val="00B83CFB"/>
    <w:rsid w:val="00B86984"/>
    <w:rsid w:val="00B92714"/>
    <w:rsid w:val="00B94229"/>
    <w:rsid w:val="00B94991"/>
    <w:rsid w:val="00B949FA"/>
    <w:rsid w:val="00B959DE"/>
    <w:rsid w:val="00B960D5"/>
    <w:rsid w:val="00B97E0A"/>
    <w:rsid w:val="00BA3165"/>
    <w:rsid w:val="00BA3319"/>
    <w:rsid w:val="00BB14EA"/>
    <w:rsid w:val="00BB2295"/>
    <w:rsid w:val="00BB4DB1"/>
    <w:rsid w:val="00BB73FF"/>
    <w:rsid w:val="00BB7A50"/>
    <w:rsid w:val="00BC061E"/>
    <w:rsid w:val="00BC1248"/>
    <w:rsid w:val="00BC59B1"/>
    <w:rsid w:val="00BC5EA2"/>
    <w:rsid w:val="00BD13F8"/>
    <w:rsid w:val="00BD1447"/>
    <w:rsid w:val="00BD6044"/>
    <w:rsid w:val="00BE0260"/>
    <w:rsid w:val="00BE1B62"/>
    <w:rsid w:val="00BE2B83"/>
    <w:rsid w:val="00BE3148"/>
    <w:rsid w:val="00BE34FA"/>
    <w:rsid w:val="00BE3B47"/>
    <w:rsid w:val="00BE6CBE"/>
    <w:rsid w:val="00BE7974"/>
    <w:rsid w:val="00BF38A1"/>
    <w:rsid w:val="00BF70E0"/>
    <w:rsid w:val="00C01A55"/>
    <w:rsid w:val="00C038A0"/>
    <w:rsid w:val="00C03FEC"/>
    <w:rsid w:val="00C06D36"/>
    <w:rsid w:val="00C13158"/>
    <w:rsid w:val="00C16DCF"/>
    <w:rsid w:val="00C214CA"/>
    <w:rsid w:val="00C21799"/>
    <w:rsid w:val="00C26466"/>
    <w:rsid w:val="00C26FAA"/>
    <w:rsid w:val="00C27CC7"/>
    <w:rsid w:val="00C32CE0"/>
    <w:rsid w:val="00C33159"/>
    <w:rsid w:val="00C34A71"/>
    <w:rsid w:val="00C35842"/>
    <w:rsid w:val="00C42E3C"/>
    <w:rsid w:val="00C44210"/>
    <w:rsid w:val="00C453FF"/>
    <w:rsid w:val="00C45A0D"/>
    <w:rsid w:val="00C47A36"/>
    <w:rsid w:val="00C506CB"/>
    <w:rsid w:val="00C5157B"/>
    <w:rsid w:val="00C51D02"/>
    <w:rsid w:val="00C53842"/>
    <w:rsid w:val="00C61D3F"/>
    <w:rsid w:val="00C64329"/>
    <w:rsid w:val="00C6581F"/>
    <w:rsid w:val="00C73A67"/>
    <w:rsid w:val="00C743D6"/>
    <w:rsid w:val="00C75192"/>
    <w:rsid w:val="00C76F59"/>
    <w:rsid w:val="00C82044"/>
    <w:rsid w:val="00C82438"/>
    <w:rsid w:val="00C8387C"/>
    <w:rsid w:val="00C866A1"/>
    <w:rsid w:val="00C927A8"/>
    <w:rsid w:val="00C934B3"/>
    <w:rsid w:val="00C94AB3"/>
    <w:rsid w:val="00C97715"/>
    <w:rsid w:val="00C97A29"/>
    <w:rsid w:val="00CA142F"/>
    <w:rsid w:val="00CA1BD7"/>
    <w:rsid w:val="00CA7729"/>
    <w:rsid w:val="00CA7A80"/>
    <w:rsid w:val="00CB0BD7"/>
    <w:rsid w:val="00CB17E1"/>
    <w:rsid w:val="00CB24CB"/>
    <w:rsid w:val="00CB2AAA"/>
    <w:rsid w:val="00CB4D9F"/>
    <w:rsid w:val="00CB7711"/>
    <w:rsid w:val="00CC0EAA"/>
    <w:rsid w:val="00CC285F"/>
    <w:rsid w:val="00CC34D3"/>
    <w:rsid w:val="00CC402F"/>
    <w:rsid w:val="00CC4294"/>
    <w:rsid w:val="00CC68BB"/>
    <w:rsid w:val="00CC75DC"/>
    <w:rsid w:val="00CD3751"/>
    <w:rsid w:val="00CD4666"/>
    <w:rsid w:val="00CD4959"/>
    <w:rsid w:val="00CD6124"/>
    <w:rsid w:val="00CE4A32"/>
    <w:rsid w:val="00CF1571"/>
    <w:rsid w:val="00CF4081"/>
    <w:rsid w:val="00CF5D48"/>
    <w:rsid w:val="00D0014B"/>
    <w:rsid w:val="00D04014"/>
    <w:rsid w:val="00D045C6"/>
    <w:rsid w:val="00D05C4C"/>
    <w:rsid w:val="00D1399F"/>
    <w:rsid w:val="00D14C6F"/>
    <w:rsid w:val="00D16480"/>
    <w:rsid w:val="00D17536"/>
    <w:rsid w:val="00D21F24"/>
    <w:rsid w:val="00D223E7"/>
    <w:rsid w:val="00D2393F"/>
    <w:rsid w:val="00D24928"/>
    <w:rsid w:val="00D26824"/>
    <w:rsid w:val="00D278D9"/>
    <w:rsid w:val="00D32028"/>
    <w:rsid w:val="00D40520"/>
    <w:rsid w:val="00D41835"/>
    <w:rsid w:val="00D41925"/>
    <w:rsid w:val="00D425F3"/>
    <w:rsid w:val="00D43E03"/>
    <w:rsid w:val="00D4541E"/>
    <w:rsid w:val="00D471E7"/>
    <w:rsid w:val="00D513A6"/>
    <w:rsid w:val="00D5419B"/>
    <w:rsid w:val="00D57F4E"/>
    <w:rsid w:val="00D673E8"/>
    <w:rsid w:val="00D71C13"/>
    <w:rsid w:val="00D71CDF"/>
    <w:rsid w:val="00D72F3D"/>
    <w:rsid w:val="00D73D0F"/>
    <w:rsid w:val="00D73DBE"/>
    <w:rsid w:val="00D76023"/>
    <w:rsid w:val="00D76437"/>
    <w:rsid w:val="00D852C2"/>
    <w:rsid w:val="00D86311"/>
    <w:rsid w:val="00D917D8"/>
    <w:rsid w:val="00D94BE2"/>
    <w:rsid w:val="00DA043E"/>
    <w:rsid w:val="00DA0E22"/>
    <w:rsid w:val="00DA6113"/>
    <w:rsid w:val="00DA778E"/>
    <w:rsid w:val="00DB017C"/>
    <w:rsid w:val="00DB36E8"/>
    <w:rsid w:val="00DB5096"/>
    <w:rsid w:val="00DB5B02"/>
    <w:rsid w:val="00DB7081"/>
    <w:rsid w:val="00DC0671"/>
    <w:rsid w:val="00DC26F1"/>
    <w:rsid w:val="00DC36A4"/>
    <w:rsid w:val="00DC4EA2"/>
    <w:rsid w:val="00DC6120"/>
    <w:rsid w:val="00DC69F8"/>
    <w:rsid w:val="00DC7556"/>
    <w:rsid w:val="00DC79BB"/>
    <w:rsid w:val="00DD0231"/>
    <w:rsid w:val="00DD04CE"/>
    <w:rsid w:val="00DD1198"/>
    <w:rsid w:val="00DD1622"/>
    <w:rsid w:val="00DD1F32"/>
    <w:rsid w:val="00DD2E69"/>
    <w:rsid w:val="00DD332A"/>
    <w:rsid w:val="00DD38F5"/>
    <w:rsid w:val="00DD557B"/>
    <w:rsid w:val="00DE28D0"/>
    <w:rsid w:val="00DE348D"/>
    <w:rsid w:val="00DE5805"/>
    <w:rsid w:val="00DE5F27"/>
    <w:rsid w:val="00DE6D79"/>
    <w:rsid w:val="00DE6E2E"/>
    <w:rsid w:val="00DF1A44"/>
    <w:rsid w:val="00DF264C"/>
    <w:rsid w:val="00DF5E53"/>
    <w:rsid w:val="00DF7FCB"/>
    <w:rsid w:val="00E00F0F"/>
    <w:rsid w:val="00E01B55"/>
    <w:rsid w:val="00E02712"/>
    <w:rsid w:val="00E03382"/>
    <w:rsid w:val="00E03ECE"/>
    <w:rsid w:val="00E04531"/>
    <w:rsid w:val="00E0600C"/>
    <w:rsid w:val="00E1030F"/>
    <w:rsid w:val="00E12635"/>
    <w:rsid w:val="00E1375F"/>
    <w:rsid w:val="00E13DD7"/>
    <w:rsid w:val="00E152CB"/>
    <w:rsid w:val="00E15DED"/>
    <w:rsid w:val="00E16568"/>
    <w:rsid w:val="00E22162"/>
    <w:rsid w:val="00E256E1"/>
    <w:rsid w:val="00E26EA4"/>
    <w:rsid w:val="00E306AA"/>
    <w:rsid w:val="00E32759"/>
    <w:rsid w:val="00E366A8"/>
    <w:rsid w:val="00E36717"/>
    <w:rsid w:val="00E36B90"/>
    <w:rsid w:val="00E379F6"/>
    <w:rsid w:val="00E45A9D"/>
    <w:rsid w:val="00E45FA2"/>
    <w:rsid w:val="00E475C9"/>
    <w:rsid w:val="00E50153"/>
    <w:rsid w:val="00E53FE0"/>
    <w:rsid w:val="00E54932"/>
    <w:rsid w:val="00E5785E"/>
    <w:rsid w:val="00E63B7F"/>
    <w:rsid w:val="00E720DD"/>
    <w:rsid w:val="00E7319F"/>
    <w:rsid w:val="00E75B1B"/>
    <w:rsid w:val="00E7734D"/>
    <w:rsid w:val="00E82465"/>
    <w:rsid w:val="00E84B9B"/>
    <w:rsid w:val="00E85566"/>
    <w:rsid w:val="00E9399D"/>
    <w:rsid w:val="00E93D69"/>
    <w:rsid w:val="00E94A03"/>
    <w:rsid w:val="00E969C6"/>
    <w:rsid w:val="00E974B7"/>
    <w:rsid w:val="00E977C0"/>
    <w:rsid w:val="00EA0050"/>
    <w:rsid w:val="00EA2D3C"/>
    <w:rsid w:val="00EA6070"/>
    <w:rsid w:val="00EA63FC"/>
    <w:rsid w:val="00EA7124"/>
    <w:rsid w:val="00EA7F27"/>
    <w:rsid w:val="00EB1325"/>
    <w:rsid w:val="00EB3096"/>
    <w:rsid w:val="00EB4428"/>
    <w:rsid w:val="00EB5476"/>
    <w:rsid w:val="00EB67CC"/>
    <w:rsid w:val="00EB7325"/>
    <w:rsid w:val="00EB7693"/>
    <w:rsid w:val="00EC01D2"/>
    <w:rsid w:val="00EC4FAB"/>
    <w:rsid w:val="00EC6F0B"/>
    <w:rsid w:val="00EC718F"/>
    <w:rsid w:val="00ED0712"/>
    <w:rsid w:val="00ED3297"/>
    <w:rsid w:val="00ED3EC2"/>
    <w:rsid w:val="00ED7982"/>
    <w:rsid w:val="00ED7F8D"/>
    <w:rsid w:val="00EE0997"/>
    <w:rsid w:val="00EE0C71"/>
    <w:rsid w:val="00EE4DFD"/>
    <w:rsid w:val="00EE582F"/>
    <w:rsid w:val="00EE5FC5"/>
    <w:rsid w:val="00EF3155"/>
    <w:rsid w:val="00EF38FB"/>
    <w:rsid w:val="00EF446A"/>
    <w:rsid w:val="00EF6378"/>
    <w:rsid w:val="00EF6732"/>
    <w:rsid w:val="00EF7469"/>
    <w:rsid w:val="00F00E0B"/>
    <w:rsid w:val="00F01724"/>
    <w:rsid w:val="00F02737"/>
    <w:rsid w:val="00F05ABF"/>
    <w:rsid w:val="00F071D3"/>
    <w:rsid w:val="00F07CB4"/>
    <w:rsid w:val="00F07D3D"/>
    <w:rsid w:val="00F13AC3"/>
    <w:rsid w:val="00F15AAB"/>
    <w:rsid w:val="00F2020A"/>
    <w:rsid w:val="00F20EDE"/>
    <w:rsid w:val="00F21AE5"/>
    <w:rsid w:val="00F256E9"/>
    <w:rsid w:val="00F26FDB"/>
    <w:rsid w:val="00F278F7"/>
    <w:rsid w:val="00F27E11"/>
    <w:rsid w:val="00F30CE1"/>
    <w:rsid w:val="00F3129F"/>
    <w:rsid w:val="00F321A3"/>
    <w:rsid w:val="00F360FA"/>
    <w:rsid w:val="00F411E8"/>
    <w:rsid w:val="00F4123B"/>
    <w:rsid w:val="00F4242D"/>
    <w:rsid w:val="00F50050"/>
    <w:rsid w:val="00F50862"/>
    <w:rsid w:val="00F52807"/>
    <w:rsid w:val="00F54A24"/>
    <w:rsid w:val="00F54D8F"/>
    <w:rsid w:val="00F5715E"/>
    <w:rsid w:val="00F62012"/>
    <w:rsid w:val="00F631F6"/>
    <w:rsid w:val="00F637D5"/>
    <w:rsid w:val="00F648B8"/>
    <w:rsid w:val="00F64B01"/>
    <w:rsid w:val="00F650F3"/>
    <w:rsid w:val="00F67966"/>
    <w:rsid w:val="00F714DD"/>
    <w:rsid w:val="00F71B25"/>
    <w:rsid w:val="00F729CF"/>
    <w:rsid w:val="00F74C0F"/>
    <w:rsid w:val="00F7597D"/>
    <w:rsid w:val="00F800F2"/>
    <w:rsid w:val="00F82FA2"/>
    <w:rsid w:val="00F837DD"/>
    <w:rsid w:val="00F83850"/>
    <w:rsid w:val="00F83F48"/>
    <w:rsid w:val="00F84A95"/>
    <w:rsid w:val="00F8587D"/>
    <w:rsid w:val="00F91A7C"/>
    <w:rsid w:val="00F93117"/>
    <w:rsid w:val="00F93300"/>
    <w:rsid w:val="00F9395C"/>
    <w:rsid w:val="00F95721"/>
    <w:rsid w:val="00F95EFE"/>
    <w:rsid w:val="00F97B89"/>
    <w:rsid w:val="00FA08EC"/>
    <w:rsid w:val="00FA5BBA"/>
    <w:rsid w:val="00FA6371"/>
    <w:rsid w:val="00FB50BF"/>
    <w:rsid w:val="00FB6C80"/>
    <w:rsid w:val="00FC2467"/>
    <w:rsid w:val="00FC49DB"/>
    <w:rsid w:val="00FD0CE0"/>
    <w:rsid w:val="00FD1934"/>
    <w:rsid w:val="00FD37EE"/>
    <w:rsid w:val="00FD3AFB"/>
    <w:rsid w:val="00FD517A"/>
    <w:rsid w:val="00FD59F5"/>
    <w:rsid w:val="00FD68B6"/>
    <w:rsid w:val="00FD7813"/>
    <w:rsid w:val="00FE08A1"/>
    <w:rsid w:val="00FE4E55"/>
    <w:rsid w:val="00FF4158"/>
    <w:rsid w:val="00FF511D"/>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8C7AA2A"/>
  <w15:docId w15:val="{9D02211A-C7F3-41B5-A15F-3C417C7C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DCA"/>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customStyle="1" w:styleId="ColorfulList-Accent11">
    <w:name w:val="Colorful List - Accent 11"/>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customStyle="1" w:styleId="ColorfulShading-Accent11">
    <w:name w:val="Colorful Shading - Accent 11"/>
    <w:hidden/>
    <w:uiPriority w:val="99"/>
    <w:semiHidden/>
    <w:rsid w:val="001A7F6F"/>
    <w:rPr>
      <w:sz w:val="22"/>
      <w:szCs w:val="22"/>
    </w:rPr>
  </w:style>
  <w:style w:type="paragraph" w:styleId="Revision">
    <w:name w:val="Revision"/>
    <w:hidden/>
    <w:uiPriority w:val="71"/>
    <w:rsid w:val="000262CA"/>
    <w:rPr>
      <w:sz w:val="22"/>
      <w:szCs w:val="22"/>
    </w:rPr>
  </w:style>
  <w:style w:type="paragraph" w:styleId="ListParagraph">
    <w:name w:val="List Paragraph"/>
    <w:basedOn w:val="Normal"/>
    <w:uiPriority w:val="34"/>
    <w:qFormat/>
    <w:rsid w:val="00312D62"/>
    <w:pPr>
      <w:ind w:left="720"/>
      <w:contextualSpacing/>
    </w:pPr>
  </w:style>
  <w:style w:type="table" w:styleId="GridTable4-Accent1">
    <w:name w:val="Grid Table 4 Accent 1"/>
    <w:basedOn w:val="TableNormal"/>
    <w:uiPriority w:val="49"/>
    <w:rsid w:val="00EC718F"/>
    <w:rPr>
      <w:rFonts w:ascii="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aqanswer">
    <w:name w:val="faq_answer"/>
    <w:basedOn w:val="DefaultParagraphFont"/>
    <w:rsid w:val="00F67966"/>
  </w:style>
  <w:style w:type="character" w:styleId="FollowedHyperlink">
    <w:name w:val="FollowedHyperlink"/>
    <w:basedOn w:val="DefaultParagraphFont"/>
    <w:uiPriority w:val="99"/>
    <w:semiHidden/>
    <w:unhideWhenUsed/>
    <w:rsid w:val="00034416"/>
    <w:rPr>
      <w:color w:val="800080" w:themeColor="followedHyperlink"/>
      <w:u w:val="single"/>
    </w:rPr>
  </w:style>
  <w:style w:type="character" w:styleId="UnresolvedMention">
    <w:name w:val="Unresolved Mention"/>
    <w:basedOn w:val="DefaultParagraphFont"/>
    <w:uiPriority w:val="99"/>
    <w:semiHidden/>
    <w:unhideWhenUsed/>
    <w:rsid w:val="0003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751146">
      <w:bodyDiv w:val="1"/>
      <w:marLeft w:val="0"/>
      <w:marRight w:val="0"/>
      <w:marTop w:val="0"/>
      <w:marBottom w:val="0"/>
      <w:divBdr>
        <w:top w:val="none" w:sz="0" w:space="0" w:color="auto"/>
        <w:left w:val="none" w:sz="0" w:space="0" w:color="auto"/>
        <w:bottom w:val="none" w:sz="0" w:space="0" w:color="auto"/>
        <w:right w:val="none" w:sz="0" w:space="0" w:color="auto"/>
      </w:divBdr>
      <w:divsChild>
        <w:div w:id="250549388">
          <w:marLeft w:val="0"/>
          <w:marRight w:val="0"/>
          <w:marTop w:val="0"/>
          <w:marBottom w:val="0"/>
          <w:divBdr>
            <w:top w:val="none" w:sz="0" w:space="0" w:color="auto"/>
            <w:left w:val="none" w:sz="0" w:space="0" w:color="auto"/>
            <w:bottom w:val="none" w:sz="0" w:space="0" w:color="auto"/>
            <w:right w:val="none" w:sz="0" w:space="0" w:color="auto"/>
          </w:divBdr>
        </w:div>
        <w:div w:id="2015298787">
          <w:marLeft w:val="0"/>
          <w:marRight w:val="0"/>
          <w:marTop w:val="0"/>
          <w:marBottom w:val="0"/>
          <w:divBdr>
            <w:top w:val="none" w:sz="0" w:space="0" w:color="auto"/>
            <w:left w:val="none" w:sz="0" w:space="0" w:color="auto"/>
            <w:bottom w:val="none" w:sz="0" w:space="0" w:color="auto"/>
            <w:right w:val="none" w:sz="0" w:space="0" w:color="auto"/>
          </w:divBdr>
          <w:divsChild>
            <w:div w:id="2028435958">
              <w:marLeft w:val="0"/>
              <w:marRight w:val="0"/>
              <w:marTop w:val="0"/>
              <w:marBottom w:val="0"/>
              <w:divBdr>
                <w:top w:val="none" w:sz="0" w:space="0" w:color="auto"/>
                <w:left w:val="none" w:sz="0" w:space="0" w:color="auto"/>
                <w:bottom w:val="none" w:sz="0" w:space="0" w:color="auto"/>
                <w:right w:val="none" w:sz="0" w:space="0" w:color="auto"/>
              </w:divBdr>
              <w:divsChild>
                <w:div w:id="911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8127">
      <w:marLeft w:val="0"/>
      <w:marRight w:val="0"/>
      <w:marTop w:val="0"/>
      <w:marBottom w:val="0"/>
      <w:divBdr>
        <w:top w:val="none" w:sz="0" w:space="0" w:color="auto"/>
        <w:left w:val="none" w:sz="0" w:space="0" w:color="auto"/>
        <w:bottom w:val="none" w:sz="0" w:space="0" w:color="auto"/>
        <w:right w:val="none" w:sz="0" w:space="0" w:color="auto"/>
      </w:divBdr>
    </w:div>
    <w:div w:id="19404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40bpvp.com/Documents/Public/340B%20Tools/wac-account-purchasing-strategi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3918-9A8B-4D57-963A-7FF3D4AE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2839</CharactersWithSpaces>
  <SharedDoc>false</SharedDoc>
  <HLinks>
    <vt:vector size="30" baseType="variant">
      <vt:variant>
        <vt:i4>5898310</vt:i4>
      </vt:variant>
      <vt:variant>
        <vt:i4>9</vt:i4>
      </vt:variant>
      <vt:variant>
        <vt:i4>0</vt:i4>
      </vt:variant>
      <vt:variant>
        <vt:i4>5</vt:i4>
      </vt:variant>
      <vt:variant>
        <vt:lpwstr>https://opanet.hrsa.gov/opa/cesearch.aspx</vt:lpwstr>
      </vt:variant>
      <vt:variant>
        <vt:lpwstr/>
      </vt:variant>
      <vt:variant>
        <vt:i4>4456524</vt:i4>
      </vt:variant>
      <vt:variant>
        <vt:i4>6</vt:i4>
      </vt:variant>
      <vt:variant>
        <vt:i4>0</vt:i4>
      </vt:variant>
      <vt:variant>
        <vt:i4>5</vt:i4>
      </vt:variant>
      <vt:variant>
        <vt:lpwstr>https://docs.340bpvp.com/documents/public/resourcecenter/Policy_and_Procedure_Self-Audit_Tool.docx</vt:lpwstr>
      </vt:variant>
      <vt:variant>
        <vt:lpwstr/>
      </vt:variant>
      <vt:variant>
        <vt:i4>6619246</vt:i4>
      </vt:variant>
      <vt:variant>
        <vt:i4>3</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0</vt:i4>
      </vt:variant>
      <vt:variant>
        <vt:i4>0</vt:i4>
      </vt:variant>
      <vt:variant>
        <vt:i4>5</vt:i4>
      </vt:variant>
      <vt:variant>
        <vt:lpwstr>https://docs.340bpvp.com/documents/public/resourcecenter/Mapping_340B_Drug_Operations_Environment.docx</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Non-GPO/WAC and 340B Contract Load Options</dc:title>
  <dc:creator/>
  <cp:lastModifiedBy>Peters,Michael</cp:lastModifiedBy>
  <cp:revision>3</cp:revision>
  <cp:lastPrinted>2016-04-09T05:20:00Z</cp:lastPrinted>
  <dcterms:created xsi:type="dcterms:W3CDTF">2021-05-03T17:30:00Z</dcterms:created>
  <dcterms:modified xsi:type="dcterms:W3CDTF">2024-09-16T18:50:00Z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