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8342" w14:textId="3EAA53F6" w:rsidR="00727955" w:rsidRPr="001F0DED" w:rsidRDefault="00857736" w:rsidP="00727955">
      <w:pPr>
        <w:spacing w:after="240"/>
        <w:rPr>
          <w:rFonts w:ascii="Arial" w:hAnsi="Arial" w:cs="Arial"/>
          <w:sz w:val="22"/>
          <w:szCs w:val="20"/>
        </w:rPr>
      </w:pPr>
      <w:r w:rsidRPr="001F0DED">
        <w:rPr>
          <w:rFonts w:ascii="Arial" w:hAnsi="Arial" w:cs="Arial"/>
          <w:b/>
          <w:sz w:val="22"/>
          <w:szCs w:val="20"/>
        </w:rPr>
        <w:t>Purpose:</w:t>
      </w:r>
      <w:r w:rsidR="007C42E3" w:rsidRPr="001F0DED">
        <w:rPr>
          <w:rFonts w:ascii="Arial" w:hAnsi="Arial" w:cs="Arial"/>
          <w:sz w:val="22"/>
          <w:szCs w:val="20"/>
        </w:rPr>
        <w:t xml:space="preserve"> This tool is intended to help all types of 340B covered entities </w:t>
      </w:r>
      <w:r w:rsidR="00A842ED" w:rsidRPr="001F0DED">
        <w:rPr>
          <w:rFonts w:ascii="Arial" w:hAnsi="Arial" w:cs="Arial"/>
          <w:sz w:val="22"/>
          <w:szCs w:val="20"/>
        </w:rPr>
        <w:t xml:space="preserve">understand their 340B </w:t>
      </w:r>
      <w:r w:rsidR="00945CBD" w:rsidRPr="001F0DED">
        <w:rPr>
          <w:rFonts w:ascii="Arial" w:hAnsi="Arial" w:cs="Arial"/>
          <w:sz w:val="22"/>
          <w:szCs w:val="20"/>
        </w:rPr>
        <w:t>net financial impact</w:t>
      </w:r>
      <w:r w:rsidR="007C42E3" w:rsidRPr="001F0DED">
        <w:rPr>
          <w:rFonts w:ascii="Arial" w:hAnsi="Arial" w:cs="Arial"/>
          <w:sz w:val="22"/>
          <w:szCs w:val="20"/>
        </w:rPr>
        <w:t xml:space="preserve"> and </w:t>
      </w:r>
      <w:r w:rsidR="00A842ED" w:rsidRPr="001F0DED">
        <w:rPr>
          <w:rFonts w:ascii="Arial" w:hAnsi="Arial" w:cs="Arial"/>
          <w:sz w:val="22"/>
          <w:szCs w:val="20"/>
        </w:rPr>
        <w:t>document</w:t>
      </w:r>
      <w:r w:rsidR="007C42E3" w:rsidRPr="001F0DED">
        <w:rPr>
          <w:rFonts w:ascii="Arial" w:hAnsi="Arial" w:cs="Arial"/>
          <w:sz w:val="22"/>
          <w:szCs w:val="20"/>
        </w:rPr>
        <w:t xml:space="preserve"> their use of 340B savings. It </w:t>
      </w:r>
      <w:r w:rsidR="00A842ED" w:rsidRPr="001F0DED">
        <w:rPr>
          <w:rFonts w:ascii="Arial" w:hAnsi="Arial" w:cs="Arial"/>
          <w:sz w:val="22"/>
          <w:szCs w:val="20"/>
        </w:rPr>
        <w:t>gives guidance on how to calculate</w:t>
      </w:r>
      <w:r w:rsidR="007C42E3" w:rsidRPr="001F0DED">
        <w:rPr>
          <w:rFonts w:ascii="Arial" w:hAnsi="Arial" w:cs="Arial"/>
          <w:sz w:val="22"/>
          <w:szCs w:val="20"/>
        </w:rPr>
        <w:t xml:space="preserve"> </w:t>
      </w:r>
      <w:r w:rsidR="00945CBD" w:rsidRPr="001F0DED">
        <w:rPr>
          <w:rFonts w:ascii="Arial" w:hAnsi="Arial" w:cs="Arial"/>
          <w:sz w:val="22"/>
          <w:szCs w:val="20"/>
        </w:rPr>
        <w:t>net financial impact</w:t>
      </w:r>
      <w:r w:rsidR="00A842ED" w:rsidRPr="001F0DED">
        <w:rPr>
          <w:rFonts w:ascii="Arial" w:hAnsi="Arial" w:cs="Arial"/>
          <w:sz w:val="22"/>
          <w:szCs w:val="20"/>
        </w:rPr>
        <w:t xml:space="preserve"> as well as articulate </w:t>
      </w:r>
      <w:r w:rsidR="007C42E3" w:rsidRPr="001F0DED">
        <w:rPr>
          <w:rFonts w:ascii="Arial" w:hAnsi="Arial" w:cs="Arial"/>
          <w:sz w:val="22"/>
          <w:szCs w:val="20"/>
        </w:rPr>
        <w:t>benefits pr</w:t>
      </w:r>
      <w:r w:rsidR="006F1356" w:rsidRPr="001F0DED">
        <w:rPr>
          <w:rFonts w:ascii="Arial" w:hAnsi="Arial" w:cs="Arial"/>
          <w:sz w:val="22"/>
          <w:szCs w:val="20"/>
        </w:rPr>
        <w:t xml:space="preserve">ovided to the community based </w:t>
      </w:r>
      <w:r w:rsidR="007C42E3" w:rsidRPr="001F0DED">
        <w:rPr>
          <w:rFonts w:ascii="Arial" w:hAnsi="Arial" w:cs="Arial"/>
          <w:sz w:val="22"/>
          <w:szCs w:val="20"/>
        </w:rPr>
        <w:t xml:space="preserve">on total expense for a variety of services. This tool has been developed </w:t>
      </w:r>
      <w:r w:rsidR="00D96B6A" w:rsidRPr="001F0DED">
        <w:rPr>
          <w:rFonts w:ascii="Arial" w:hAnsi="Arial" w:cs="Arial"/>
          <w:sz w:val="22"/>
          <w:szCs w:val="20"/>
        </w:rPr>
        <w:t xml:space="preserve">based on best practices </w:t>
      </w:r>
      <w:r w:rsidR="00CD3CF9" w:rsidRPr="001F0DED">
        <w:rPr>
          <w:rFonts w:ascii="Arial" w:hAnsi="Arial" w:cs="Arial"/>
          <w:sz w:val="22"/>
          <w:szCs w:val="20"/>
        </w:rPr>
        <w:t>from</w:t>
      </w:r>
      <w:r w:rsidR="007C42E3" w:rsidRPr="001F0DED">
        <w:rPr>
          <w:rFonts w:ascii="Arial" w:hAnsi="Arial" w:cs="Arial"/>
          <w:sz w:val="22"/>
          <w:szCs w:val="20"/>
        </w:rPr>
        <w:t xml:space="preserve"> informed stakeholders and </w:t>
      </w:r>
      <w:r w:rsidR="0029104F" w:rsidRPr="001F0DED">
        <w:rPr>
          <w:rFonts w:ascii="Arial" w:hAnsi="Arial" w:cs="Arial"/>
          <w:sz w:val="22"/>
          <w:szCs w:val="20"/>
        </w:rPr>
        <w:t xml:space="preserve">was </w:t>
      </w:r>
      <w:r w:rsidR="00390867" w:rsidRPr="001F0DED">
        <w:rPr>
          <w:rFonts w:ascii="Arial" w:hAnsi="Arial" w:cs="Arial"/>
          <w:sz w:val="22"/>
          <w:szCs w:val="20"/>
        </w:rPr>
        <w:t>validated with covered entities</w:t>
      </w:r>
      <w:r w:rsidR="00CD3CF9" w:rsidRPr="001F0DED">
        <w:rPr>
          <w:rFonts w:ascii="Arial" w:hAnsi="Arial" w:cs="Arial"/>
          <w:sz w:val="22"/>
          <w:szCs w:val="20"/>
        </w:rPr>
        <w:t xml:space="preserve"> </w:t>
      </w:r>
      <w:r w:rsidR="007C42E3" w:rsidRPr="001F0DED">
        <w:rPr>
          <w:rFonts w:ascii="Arial" w:hAnsi="Arial" w:cs="Arial"/>
          <w:sz w:val="22"/>
          <w:szCs w:val="20"/>
        </w:rPr>
        <w:t>(DSH, FQHC, and other grantees)</w:t>
      </w:r>
      <w:r w:rsidR="00D96B6A" w:rsidRPr="001F0DED">
        <w:rPr>
          <w:rFonts w:ascii="Arial" w:hAnsi="Arial" w:cs="Arial"/>
          <w:sz w:val="22"/>
          <w:szCs w:val="20"/>
        </w:rPr>
        <w:t>.</w:t>
      </w:r>
      <w:r w:rsidR="007C42E3" w:rsidRPr="001F0DED">
        <w:rPr>
          <w:rFonts w:ascii="Arial" w:hAnsi="Arial" w:cs="Arial"/>
          <w:sz w:val="22"/>
          <w:szCs w:val="20"/>
        </w:rPr>
        <w:t xml:space="preserve"> </w:t>
      </w:r>
      <w:r w:rsidR="00D96B6A" w:rsidRPr="001F0DED">
        <w:rPr>
          <w:rFonts w:ascii="Arial" w:hAnsi="Arial" w:cs="Arial"/>
          <w:sz w:val="22"/>
          <w:szCs w:val="20"/>
        </w:rPr>
        <w:t xml:space="preserve">This tool </w:t>
      </w:r>
      <w:r w:rsidR="007C42E3" w:rsidRPr="001F0DED">
        <w:rPr>
          <w:rFonts w:ascii="Arial" w:hAnsi="Arial" w:cs="Arial"/>
          <w:sz w:val="22"/>
          <w:szCs w:val="20"/>
        </w:rPr>
        <w:t>does not</w:t>
      </w:r>
      <w:r w:rsidR="006F1356" w:rsidRPr="001F0DED">
        <w:rPr>
          <w:rFonts w:ascii="Arial" w:hAnsi="Arial" w:cs="Arial"/>
          <w:sz w:val="22"/>
          <w:szCs w:val="20"/>
        </w:rPr>
        <w:t xml:space="preserve"> represent a HRSA requirement for</w:t>
      </w:r>
      <w:r w:rsidR="007C42E3" w:rsidRPr="001F0DED">
        <w:rPr>
          <w:rFonts w:ascii="Arial" w:hAnsi="Arial" w:cs="Arial"/>
          <w:sz w:val="22"/>
          <w:szCs w:val="20"/>
        </w:rPr>
        <w:t xml:space="preserve"> 340B Program compliance.</w:t>
      </w:r>
    </w:p>
    <w:p w14:paraId="021F5A5D" w14:textId="3D4D890E" w:rsidR="007C42E3" w:rsidRPr="001F0DED" w:rsidRDefault="007C42E3" w:rsidP="00DF5B07">
      <w:pPr>
        <w:spacing w:after="240"/>
        <w:rPr>
          <w:rFonts w:ascii="Arial" w:hAnsi="Arial" w:cs="Arial"/>
          <w:sz w:val="22"/>
          <w:szCs w:val="20"/>
        </w:rPr>
      </w:pPr>
      <w:r w:rsidRPr="001F0DED">
        <w:rPr>
          <w:rFonts w:ascii="Arial" w:hAnsi="Arial" w:cs="Arial"/>
          <w:b/>
          <w:sz w:val="22"/>
          <w:szCs w:val="20"/>
        </w:rPr>
        <w:t xml:space="preserve">Background: </w:t>
      </w:r>
      <w:r w:rsidRPr="001F0DED">
        <w:rPr>
          <w:rFonts w:ascii="Arial" w:hAnsi="Arial" w:cs="Arial"/>
          <w:sz w:val="22"/>
          <w:szCs w:val="20"/>
        </w:rPr>
        <w:t>Although the 340B statu</w:t>
      </w:r>
      <w:r w:rsidR="00225EB4" w:rsidRPr="001F0DED">
        <w:rPr>
          <w:rFonts w:ascii="Arial" w:hAnsi="Arial" w:cs="Arial"/>
          <w:sz w:val="22"/>
          <w:szCs w:val="20"/>
        </w:rPr>
        <w:t>t</w:t>
      </w:r>
      <w:r w:rsidRPr="001F0DED">
        <w:rPr>
          <w:rFonts w:ascii="Arial" w:hAnsi="Arial" w:cs="Arial"/>
          <w:sz w:val="22"/>
          <w:szCs w:val="20"/>
        </w:rPr>
        <w:t xml:space="preserve">e does not require covered entities to </w:t>
      </w:r>
      <w:r w:rsidR="00390867" w:rsidRPr="001F0DED">
        <w:rPr>
          <w:rFonts w:ascii="Arial" w:hAnsi="Arial" w:cs="Arial"/>
          <w:sz w:val="22"/>
          <w:szCs w:val="20"/>
        </w:rPr>
        <w:t xml:space="preserve">document </w:t>
      </w:r>
      <w:r w:rsidR="00A842ED" w:rsidRPr="001F0DED">
        <w:rPr>
          <w:rFonts w:ascii="Arial" w:hAnsi="Arial" w:cs="Arial"/>
          <w:sz w:val="22"/>
          <w:szCs w:val="20"/>
        </w:rPr>
        <w:t xml:space="preserve">what their 340B </w:t>
      </w:r>
      <w:r w:rsidR="00945CBD" w:rsidRPr="001F0DED">
        <w:rPr>
          <w:rFonts w:ascii="Arial" w:hAnsi="Arial" w:cs="Arial"/>
          <w:sz w:val="22"/>
          <w:szCs w:val="20"/>
        </w:rPr>
        <w:t>net financial impact</w:t>
      </w:r>
      <w:r w:rsidR="00A842ED" w:rsidRPr="001F0DED">
        <w:rPr>
          <w:rFonts w:ascii="Arial" w:hAnsi="Arial" w:cs="Arial"/>
          <w:sz w:val="22"/>
          <w:szCs w:val="20"/>
        </w:rPr>
        <w:t xml:space="preserve"> is or </w:t>
      </w:r>
      <w:r w:rsidRPr="001F0DED">
        <w:rPr>
          <w:rFonts w:ascii="Arial" w:hAnsi="Arial" w:cs="Arial"/>
          <w:sz w:val="22"/>
          <w:szCs w:val="20"/>
        </w:rPr>
        <w:t xml:space="preserve">how </w:t>
      </w:r>
      <w:r w:rsidR="00A842ED" w:rsidRPr="001F0DED">
        <w:rPr>
          <w:rFonts w:ascii="Arial" w:hAnsi="Arial" w:cs="Arial"/>
          <w:sz w:val="22"/>
          <w:szCs w:val="20"/>
        </w:rPr>
        <w:t xml:space="preserve">those </w:t>
      </w:r>
      <w:r w:rsidRPr="001F0DED">
        <w:rPr>
          <w:rFonts w:ascii="Arial" w:hAnsi="Arial" w:cs="Arial"/>
          <w:sz w:val="22"/>
          <w:szCs w:val="20"/>
        </w:rPr>
        <w:t>savings are used, doing so is considered a best practice</w:t>
      </w:r>
      <w:r w:rsidR="0052079C" w:rsidRPr="001F0DED">
        <w:rPr>
          <w:rFonts w:ascii="Arial" w:hAnsi="Arial" w:cs="Arial"/>
          <w:sz w:val="22"/>
          <w:szCs w:val="20"/>
        </w:rPr>
        <w:t xml:space="preserve"> to demonstrate</w:t>
      </w:r>
      <w:r w:rsidRPr="001F0DED">
        <w:rPr>
          <w:rFonts w:ascii="Arial" w:hAnsi="Arial" w:cs="Arial"/>
          <w:sz w:val="22"/>
          <w:szCs w:val="20"/>
        </w:rPr>
        <w:t xml:space="preserve"> how </w:t>
      </w:r>
      <w:r w:rsidR="0052079C" w:rsidRPr="001F0DED">
        <w:rPr>
          <w:rFonts w:ascii="Arial" w:hAnsi="Arial" w:cs="Arial"/>
          <w:sz w:val="22"/>
          <w:szCs w:val="20"/>
        </w:rPr>
        <w:t>the</w:t>
      </w:r>
      <w:r w:rsidR="006F1356" w:rsidRPr="001F0DED">
        <w:rPr>
          <w:rFonts w:ascii="Arial" w:hAnsi="Arial" w:cs="Arial"/>
          <w:sz w:val="22"/>
          <w:szCs w:val="20"/>
        </w:rPr>
        <w:t xml:space="preserve"> 340B</w:t>
      </w:r>
      <w:r w:rsidR="0052079C" w:rsidRPr="001F0DED">
        <w:rPr>
          <w:rFonts w:ascii="Arial" w:hAnsi="Arial" w:cs="Arial"/>
          <w:sz w:val="22"/>
          <w:szCs w:val="20"/>
        </w:rPr>
        <w:t xml:space="preserve"> Program </w:t>
      </w:r>
      <w:r w:rsidRPr="001F0DED">
        <w:rPr>
          <w:rFonts w:ascii="Arial" w:hAnsi="Arial" w:cs="Arial"/>
          <w:sz w:val="22"/>
          <w:szCs w:val="20"/>
        </w:rPr>
        <w:t>expand</w:t>
      </w:r>
      <w:r w:rsidR="0052079C" w:rsidRPr="001F0DED">
        <w:rPr>
          <w:rFonts w:ascii="Arial" w:hAnsi="Arial" w:cs="Arial"/>
          <w:sz w:val="22"/>
          <w:szCs w:val="20"/>
        </w:rPr>
        <w:t>s</w:t>
      </w:r>
      <w:r w:rsidRPr="001F0DED">
        <w:rPr>
          <w:rFonts w:ascii="Arial" w:hAnsi="Arial" w:cs="Arial"/>
          <w:sz w:val="22"/>
          <w:szCs w:val="20"/>
        </w:rPr>
        <w:t xml:space="preserve"> access to underserved patient populations. This can also help internal stakeholders better understand what services would be directly </w:t>
      </w:r>
      <w:r w:rsidR="006F1356" w:rsidRPr="001F0DED">
        <w:rPr>
          <w:rFonts w:ascii="Arial" w:hAnsi="Arial" w:cs="Arial"/>
          <w:sz w:val="22"/>
          <w:szCs w:val="20"/>
        </w:rPr>
        <w:t>affected</w:t>
      </w:r>
      <w:r w:rsidRPr="001F0DED">
        <w:rPr>
          <w:rFonts w:ascii="Arial" w:hAnsi="Arial" w:cs="Arial"/>
          <w:sz w:val="22"/>
          <w:szCs w:val="20"/>
        </w:rPr>
        <w:t xml:space="preserve"> if there is a loss of program savings for any reason.</w:t>
      </w:r>
    </w:p>
    <w:p w14:paraId="7B03C6F8" w14:textId="3491F8F3" w:rsidR="00A842ED" w:rsidRPr="001F0DED" w:rsidRDefault="00A842ED" w:rsidP="007C42E3">
      <w:pPr>
        <w:rPr>
          <w:rFonts w:ascii="Arial" w:hAnsi="Arial" w:cs="Arial"/>
          <w:b/>
          <w:sz w:val="22"/>
          <w:szCs w:val="20"/>
        </w:rPr>
      </w:pPr>
      <w:r w:rsidRPr="001F0DED">
        <w:rPr>
          <w:rFonts w:ascii="Arial" w:hAnsi="Arial" w:cs="Arial"/>
          <w:b/>
          <w:sz w:val="22"/>
          <w:szCs w:val="20"/>
        </w:rPr>
        <w:t>Instructions</w:t>
      </w:r>
      <w:r w:rsidR="002D5BF0" w:rsidRPr="001F0DED">
        <w:rPr>
          <w:rFonts w:ascii="Arial" w:hAnsi="Arial" w:cs="Arial"/>
          <w:b/>
          <w:sz w:val="22"/>
          <w:szCs w:val="20"/>
        </w:rPr>
        <w:t>,</w:t>
      </w:r>
      <w:r w:rsidRPr="001F0DED">
        <w:rPr>
          <w:rFonts w:ascii="Arial" w:hAnsi="Arial" w:cs="Arial"/>
          <w:b/>
          <w:sz w:val="22"/>
          <w:szCs w:val="20"/>
        </w:rPr>
        <w:t xml:space="preserve"> Table 1: Calculating 340B </w:t>
      </w:r>
      <w:r w:rsidR="00945CBD" w:rsidRPr="001F0DED">
        <w:rPr>
          <w:rFonts w:ascii="Arial" w:hAnsi="Arial" w:cs="Arial"/>
          <w:b/>
          <w:sz w:val="22"/>
          <w:szCs w:val="20"/>
        </w:rPr>
        <w:t>Net Financial Impact</w:t>
      </w:r>
    </w:p>
    <w:p w14:paraId="33CB994C" w14:textId="77777777" w:rsidR="000E73EC" w:rsidRPr="001F0DED" w:rsidRDefault="000E73EC" w:rsidP="007C42E3">
      <w:pPr>
        <w:rPr>
          <w:rFonts w:ascii="Arial" w:hAnsi="Arial" w:cs="Arial"/>
          <w:b/>
          <w:sz w:val="22"/>
          <w:szCs w:val="20"/>
        </w:rPr>
      </w:pPr>
    </w:p>
    <w:p w14:paraId="57FDD0E5" w14:textId="77777777" w:rsidR="000E73EC" w:rsidRPr="001F0DED" w:rsidRDefault="000E73EC" w:rsidP="000E73EC">
      <w:pPr>
        <w:pStyle w:val="ListParagraph"/>
        <w:numPr>
          <w:ilvl w:val="0"/>
          <w:numId w:val="27"/>
        </w:numPr>
        <w:spacing w:line="276" w:lineRule="auto"/>
        <w:contextualSpacing w:val="0"/>
        <w:rPr>
          <w:rFonts w:ascii="Arial" w:hAnsi="Arial" w:cs="Arial"/>
          <w:b/>
          <w:sz w:val="22"/>
          <w:szCs w:val="20"/>
        </w:rPr>
      </w:pPr>
      <w:r w:rsidRPr="001F0DED">
        <w:rPr>
          <w:rFonts w:ascii="Arial" w:hAnsi="Arial" w:cs="Arial"/>
          <w:b/>
          <w:sz w:val="22"/>
          <w:szCs w:val="20"/>
        </w:rPr>
        <w:t>340B Benefits:</w:t>
      </w:r>
    </w:p>
    <w:p w14:paraId="3F43C479" w14:textId="033E0BAE" w:rsidR="000E73EC" w:rsidRPr="001F0DED" w:rsidRDefault="000E73EC" w:rsidP="000E73EC">
      <w:pPr>
        <w:pStyle w:val="ListParagraph"/>
        <w:spacing w:line="276" w:lineRule="auto"/>
        <w:ind w:left="360"/>
        <w:contextualSpacing w:val="0"/>
        <w:rPr>
          <w:rFonts w:ascii="Arial" w:hAnsi="Arial" w:cs="Arial"/>
          <w:sz w:val="22"/>
          <w:szCs w:val="20"/>
        </w:rPr>
      </w:pPr>
      <w:r w:rsidRPr="001F0DED">
        <w:rPr>
          <w:rFonts w:ascii="Arial" w:hAnsi="Arial" w:cs="Arial"/>
          <w:b/>
          <w:sz w:val="22"/>
          <w:szCs w:val="20"/>
        </w:rPr>
        <w:t xml:space="preserve">Physician-administered/clinics, entity-owned retail pharmacies: </w:t>
      </w:r>
      <w:r w:rsidRPr="001F0DED">
        <w:rPr>
          <w:rFonts w:ascii="Arial" w:hAnsi="Arial" w:cs="Arial"/>
          <w:sz w:val="22"/>
          <w:szCs w:val="20"/>
        </w:rPr>
        <w:t>There are several ways to calculate 340B savings. The following is an example</w:t>
      </w:r>
      <w:r w:rsidR="00E96102" w:rsidRPr="001F0DED">
        <w:rPr>
          <w:rFonts w:ascii="Arial" w:hAnsi="Arial" w:cs="Arial"/>
          <w:sz w:val="22"/>
          <w:szCs w:val="20"/>
        </w:rPr>
        <w:t>:</w:t>
      </w:r>
    </w:p>
    <w:p w14:paraId="25D52349" w14:textId="7E52BBB8" w:rsidR="000E73EC" w:rsidRPr="001F0DED" w:rsidRDefault="000E73EC" w:rsidP="000E73EC">
      <w:pPr>
        <w:pStyle w:val="ListParagraph"/>
        <w:numPr>
          <w:ilvl w:val="0"/>
          <w:numId w:val="28"/>
        </w:numPr>
        <w:spacing w:line="276" w:lineRule="auto"/>
        <w:contextualSpacing w:val="0"/>
        <w:rPr>
          <w:rFonts w:ascii="Arial" w:hAnsi="Arial" w:cs="Arial"/>
          <w:sz w:val="22"/>
          <w:szCs w:val="20"/>
        </w:rPr>
      </w:pPr>
      <w:r w:rsidRPr="001F0DED">
        <w:rPr>
          <w:rFonts w:ascii="Arial" w:hAnsi="Arial" w:cs="Arial"/>
          <w:sz w:val="22"/>
          <w:szCs w:val="20"/>
        </w:rPr>
        <w:t xml:space="preserve">For hospitals subject to the GPO Prohibition and entity-owned retail pharmacies subject to the GPO Prohibition: </w:t>
      </w:r>
    </w:p>
    <w:p w14:paraId="7CB76C60" w14:textId="77777777" w:rsidR="000E73EC" w:rsidRPr="001F0DED" w:rsidRDefault="000E73EC" w:rsidP="000E73EC">
      <w:pPr>
        <w:spacing w:line="276" w:lineRule="auto"/>
        <w:ind w:left="720"/>
        <w:rPr>
          <w:rFonts w:ascii="Arial" w:hAnsi="Arial" w:cs="Arial"/>
          <w:sz w:val="22"/>
          <w:szCs w:val="20"/>
        </w:rPr>
      </w:pPr>
      <w:r w:rsidRPr="001F0DED">
        <w:rPr>
          <w:rFonts w:ascii="Arial" w:hAnsi="Arial" w:cs="Arial"/>
          <w:b/>
          <w:sz w:val="22"/>
          <w:szCs w:val="20"/>
        </w:rPr>
        <w:t>Step 1:</w:t>
      </w:r>
      <w:r w:rsidRPr="001F0DED">
        <w:rPr>
          <w:rFonts w:ascii="Arial" w:hAnsi="Arial" w:cs="Arial"/>
          <w:sz w:val="22"/>
          <w:szCs w:val="20"/>
        </w:rPr>
        <w:t xml:space="preserve"> Calculate 340B savings by reviewing the purchase history report from the 340B account and identify the unit price for each NDC when purchasing those NDCs at 340B price and GPO price. 340B savings will be equal to the GPO total minus the 340B total.</w:t>
      </w:r>
    </w:p>
    <w:p w14:paraId="23C59C4F" w14:textId="77777777" w:rsidR="000E73EC" w:rsidRPr="001F0DED" w:rsidRDefault="000E73EC" w:rsidP="000E73EC">
      <w:pPr>
        <w:spacing w:line="276" w:lineRule="auto"/>
        <w:ind w:left="720"/>
        <w:rPr>
          <w:rFonts w:ascii="Arial" w:hAnsi="Arial" w:cs="Arial"/>
          <w:sz w:val="22"/>
          <w:szCs w:val="20"/>
        </w:rPr>
      </w:pPr>
      <w:r w:rsidRPr="001F0DED">
        <w:rPr>
          <w:rFonts w:ascii="Arial" w:hAnsi="Arial" w:cs="Arial"/>
          <w:b/>
          <w:sz w:val="22"/>
          <w:szCs w:val="20"/>
        </w:rPr>
        <w:t>Step 2:</w:t>
      </w:r>
      <w:r w:rsidRPr="001F0DED">
        <w:rPr>
          <w:rFonts w:ascii="Arial" w:hAnsi="Arial" w:cs="Arial"/>
          <w:sz w:val="22"/>
          <w:szCs w:val="20"/>
        </w:rPr>
        <w:t xml:space="preserve"> Calculate WAC variance by identifying purchase history in the non-GPO/WAC account and what those purchases would have cost at GPO pricing. WAC variance will be equal to the non-GPO/WAC total minus the GPO total.</w:t>
      </w:r>
    </w:p>
    <w:p w14:paraId="6F0A38DF" w14:textId="77777777" w:rsidR="000E73EC" w:rsidRPr="001F0DED" w:rsidRDefault="000E73EC" w:rsidP="000E73EC">
      <w:pPr>
        <w:spacing w:line="276" w:lineRule="auto"/>
        <w:ind w:left="720"/>
        <w:rPr>
          <w:rFonts w:ascii="Arial" w:hAnsi="Arial" w:cs="Arial"/>
          <w:sz w:val="22"/>
          <w:szCs w:val="20"/>
        </w:rPr>
      </w:pPr>
      <w:r w:rsidRPr="001F0DED">
        <w:rPr>
          <w:rFonts w:ascii="Arial" w:hAnsi="Arial" w:cs="Arial"/>
          <w:b/>
          <w:sz w:val="22"/>
          <w:szCs w:val="20"/>
        </w:rPr>
        <w:t>Step 3:</w:t>
      </w:r>
      <w:r w:rsidRPr="001F0DED">
        <w:rPr>
          <w:rFonts w:ascii="Arial" w:hAnsi="Arial" w:cs="Arial"/>
          <w:sz w:val="22"/>
          <w:szCs w:val="20"/>
        </w:rPr>
        <w:t xml:space="preserve"> Calculate net savings. The net savings is equal to 340B savings calculated in Step 1 minus the WAC variance calculated in Step 2.</w:t>
      </w:r>
    </w:p>
    <w:p w14:paraId="7634A95C" w14:textId="53EA171E" w:rsidR="000E73EC" w:rsidRPr="001F0DED" w:rsidRDefault="000E73EC" w:rsidP="000E73EC">
      <w:pPr>
        <w:pStyle w:val="ListParagraph"/>
        <w:numPr>
          <w:ilvl w:val="0"/>
          <w:numId w:val="28"/>
        </w:numPr>
        <w:spacing w:line="276" w:lineRule="auto"/>
        <w:contextualSpacing w:val="0"/>
        <w:rPr>
          <w:rFonts w:ascii="Arial" w:hAnsi="Arial" w:cs="Arial"/>
          <w:sz w:val="22"/>
          <w:szCs w:val="20"/>
        </w:rPr>
      </w:pPr>
      <w:r w:rsidRPr="001F0DED">
        <w:rPr>
          <w:rFonts w:ascii="Arial" w:hAnsi="Arial" w:cs="Arial"/>
          <w:sz w:val="22"/>
          <w:szCs w:val="20"/>
        </w:rPr>
        <w:t>All other entities and entity-owned retail pharmacies not subject to the GPO Prohibition: 340B savings may be calculated by looking at the difference between 340B pricing and customary pricing for all outpatient purchases.</w:t>
      </w:r>
    </w:p>
    <w:p w14:paraId="5D52336B" w14:textId="7E8DE51D" w:rsidR="000E73EC" w:rsidRPr="001F0DED" w:rsidRDefault="000E73EC" w:rsidP="000E73EC">
      <w:pPr>
        <w:pStyle w:val="ListParagraph"/>
        <w:spacing w:line="276" w:lineRule="auto"/>
        <w:ind w:left="360"/>
        <w:contextualSpacing w:val="0"/>
        <w:rPr>
          <w:rFonts w:ascii="Arial" w:hAnsi="Arial" w:cs="Arial"/>
          <w:sz w:val="22"/>
          <w:szCs w:val="20"/>
        </w:rPr>
      </w:pPr>
      <w:r w:rsidRPr="001F0DED">
        <w:rPr>
          <w:rFonts w:ascii="Arial" w:hAnsi="Arial" w:cs="Arial"/>
          <w:b/>
          <w:sz w:val="22"/>
          <w:szCs w:val="20"/>
        </w:rPr>
        <w:t xml:space="preserve">Contract pharmacy: </w:t>
      </w:r>
      <w:r w:rsidRPr="001F0DED">
        <w:rPr>
          <w:rFonts w:ascii="Arial" w:hAnsi="Arial" w:cs="Arial"/>
          <w:sz w:val="22"/>
          <w:szCs w:val="20"/>
        </w:rPr>
        <w:t>Reimbursement received</w:t>
      </w:r>
      <w:r w:rsidR="002D5BF0" w:rsidRPr="001F0DED">
        <w:rPr>
          <w:rFonts w:ascii="Arial" w:hAnsi="Arial" w:cs="Arial"/>
          <w:sz w:val="22"/>
          <w:szCs w:val="20"/>
        </w:rPr>
        <w:t xml:space="preserve"> – </w:t>
      </w:r>
      <w:r w:rsidRPr="001F0DED">
        <w:rPr>
          <w:rFonts w:ascii="Arial" w:hAnsi="Arial" w:cs="Arial"/>
          <w:sz w:val="22"/>
          <w:szCs w:val="20"/>
        </w:rPr>
        <w:t xml:space="preserve">(drug </w:t>
      </w:r>
      <w:r w:rsidR="00B62419" w:rsidRPr="001F0DED">
        <w:rPr>
          <w:rFonts w:ascii="Arial" w:hAnsi="Arial" w:cs="Arial"/>
          <w:sz w:val="22"/>
          <w:szCs w:val="20"/>
        </w:rPr>
        <w:t>actual acquisition cost [</w:t>
      </w:r>
      <w:r w:rsidRPr="001F0DED">
        <w:rPr>
          <w:rFonts w:ascii="Arial" w:hAnsi="Arial" w:cs="Arial"/>
          <w:sz w:val="22"/>
          <w:szCs w:val="20"/>
        </w:rPr>
        <w:t>AAC</w:t>
      </w:r>
      <w:r w:rsidR="00B62419" w:rsidRPr="001F0DED">
        <w:rPr>
          <w:rFonts w:ascii="Arial" w:hAnsi="Arial" w:cs="Arial"/>
          <w:sz w:val="22"/>
          <w:szCs w:val="20"/>
        </w:rPr>
        <w:t>]</w:t>
      </w:r>
      <w:r w:rsidRPr="001F0DED">
        <w:rPr>
          <w:rFonts w:ascii="Arial" w:hAnsi="Arial" w:cs="Arial"/>
          <w:sz w:val="22"/>
          <w:szCs w:val="20"/>
        </w:rPr>
        <w:t xml:space="preserve"> +</w:t>
      </w:r>
      <w:r w:rsidR="002D5BF0" w:rsidRPr="001F0DED">
        <w:rPr>
          <w:rFonts w:ascii="Arial" w:hAnsi="Arial" w:cs="Arial"/>
          <w:sz w:val="22"/>
          <w:szCs w:val="20"/>
        </w:rPr>
        <w:t xml:space="preserve"> </w:t>
      </w:r>
      <w:r w:rsidRPr="001F0DED">
        <w:rPr>
          <w:rFonts w:ascii="Arial" w:hAnsi="Arial" w:cs="Arial"/>
          <w:sz w:val="22"/>
          <w:szCs w:val="20"/>
        </w:rPr>
        <w:t>dispensing fees to contract pharmacies + administrative fees to vendor + DIR fees charged by PBMs + entity costs of sliding fee subsidization)</w:t>
      </w:r>
    </w:p>
    <w:p w14:paraId="358B7999" w14:textId="7B81C61D" w:rsidR="000E73EC" w:rsidRPr="001F0DED" w:rsidRDefault="000E73EC" w:rsidP="000E73EC">
      <w:pPr>
        <w:pStyle w:val="ListParagraph"/>
        <w:numPr>
          <w:ilvl w:val="0"/>
          <w:numId w:val="27"/>
        </w:numPr>
        <w:spacing w:line="276" w:lineRule="auto"/>
        <w:contextualSpacing w:val="0"/>
        <w:rPr>
          <w:rFonts w:ascii="Arial" w:hAnsi="Arial" w:cs="Arial"/>
          <w:sz w:val="22"/>
          <w:szCs w:val="20"/>
        </w:rPr>
      </w:pPr>
      <w:r w:rsidRPr="001F0DED">
        <w:rPr>
          <w:rFonts w:ascii="Arial" w:hAnsi="Arial" w:cs="Arial"/>
          <w:b/>
          <w:sz w:val="22"/>
          <w:szCs w:val="20"/>
        </w:rPr>
        <w:t>340B Compliance Maintenance Costs:</w:t>
      </w:r>
      <w:r w:rsidRPr="001F0DED">
        <w:rPr>
          <w:rFonts w:ascii="Arial" w:hAnsi="Arial" w:cs="Arial"/>
          <w:sz w:val="22"/>
          <w:szCs w:val="20"/>
        </w:rPr>
        <w:t xml:space="preserve"> Sum of all costs incurred to support program compliance</w:t>
      </w:r>
    </w:p>
    <w:p w14:paraId="42C4A15F" w14:textId="77777777" w:rsidR="000E73EC" w:rsidRPr="001F0DED" w:rsidRDefault="000E73EC" w:rsidP="000E73EC">
      <w:pPr>
        <w:pStyle w:val="ListParagraph"/>
        <w:numPr>
          <w:ilvl w:val="1"/>
          <w:numId w:val="27"/>
        </w:numPr>
        <w:spacing w:line="276" w:lineRule="auto"/>
        <w:contextualSpacing w:val="0"/>
        <w:rPr>
          <w:rFonts w:ascii="Arial" w:hAnsi="Arial" w:cs="Arial"/>
          <w:sz w:val="22"/>
          <w:szCs w:val="20"/>
        </w:rPr>
      </w:pPr>
      <w:r w:rsidRPr="001F0DED">
        <w:rPr>
          <w:rFonts w:ascii="Arial" w:hAnsi="Arial" w:cs="Arial"/>
          <w:sz w:val="22"/>
          <w:szCs w:val="20"/>
        </w:rPr>
        <w:t>External resources: split-billing software fees, legal fees, external auditor fees, consultant fees</w:t>
      </w:r>
    </w:p>
    <w:p w14:paraId="0C6F9B99" w14:textId="77777777" w:rsidR="000E73EC" w:rsidRPr="001F0DED" w:rsidRDefault="000E73EC" w:rsidP="000E73EC">
      <w:pPr>
        <w:pStyle w:val="ListParagraph"/>
        <w:numPr>
          <w:ilvl w:val="1"/>
          <w:numId w:val="27"/>
        </w:numPr>
        <w:spacing w:line="276" w:lineRule="auto"/>
        <w:contextualSpacing w:val="0"/>
        <w:rPr>
          <w:rFonts w:ascii="Arial" w:hAnsi="Arial" w:cs="Arial"/>
          <w:sz w:val="22"/>
          <w:szCs w:val="20"/>
        </w:rPr>
      </w:pPr>
      <w:r w:rsidRPr="001F0DED">
        <w:rPr>
          <w:rFonts w:ascii="Arial" w:hAnsi="Arial" w:cs="Arial"/>
          <w:sz w:val="22"/>
          <w:szCs w:val="20"/>
        </w:rPr>
        <w:t>Internal resources: education, dedicated FTE time (whole or partial FTEs)</w:t>
      </w:r>
    </w:p>
    <w:p w14:paraId="30B0E724" w14:textId="77777777" w:rsidR="000E73EC" w:rsidRPr="001F0DED" w:rsidRDefault="000E73EC" w:rsidP="000E73EC">
      <w:pPr>
        <w:pStyle w:val="ListParagraph"/>
        <w:numPr>
          <w:ilvl w:val="1"/>
          <w:numId w:val="27"/>
        </w:numPr>
        <w:spacing w:line="276" w:lineRule="auto"/>
        <w:contextualSpacing w:val="0"/>
        <w:rPr>
          <w:rFonts w:ascii="Arial" w:hAnsi="Arial" w:cs="Arial"/>
          <w:sz w:val="22"/>
          <w:szCs w:val="20"/>
        </w:rPr>
      </w:pPr>
      <w:r w:rsidRPr="001F0DED">
        <w:rPr>
          <w:rFonts w:ascii="Arial" w:hAnsi="Arial" w:cs="Arial"/>
          <w:sz w:val="22"/>
          <w:szCs w:val="20"/>
        </w:rPr>
        <w:t>Lost revenue: net revenue lost by receiving decreased reimbursement due to 340B status (examples: Medicaid MCO, Medicare OPPS, private payers identifying 340B claims)</w:t>
      </w:r>
    </w:p>
    <w:p w14:paraId="0DA03084" w14:textId="29AC5949" w:rsidR="000E73EC" w:rsidRPr="001F0DED" w:rsidRDefault="000E73EC" w:rsidP="000E73EC">
      <w:pPr>
        <w:pStyle w:val="ListParagraph"/>
        <w:numPr>
          <w:ilvl w:val="2"/>
          <w:numId w:val="27"/>
        </w:numPr>
        <w:spacing w:line="276" w:lineRule="auto"/>
        <w:ind w:left="1350"/>
        <w:contextualSpacing w:val="0"/>
        <w:rPr>
          <w:rFonts w:ascii="Arial" w:hAnsi="Arial" w:cs="Arial"/>
          <w:sz w:val="22"/>
          <w:szCs w:val="20"/>
        </w:rPr>
      </w:pPr>
      <w:r w:rsidRPr="001F0DED">
        <w:rPr>
          <w:rFonts w:ascii="Arial" w:hAnsi="Arial" w:cs="Arial"/>
          <w:sz w:val="22"/>
          <w:szCs w:val="20"/>
        </w:rPr>
        <w:t xml:space="preserve">NOTE: </w:t>
      </w:r>
      <w:r w:rsidR="002D5BF0" w:rsidRPr="001F0DED">
        <w:rPr>
          <w:rFonts w:ascii="Arial" w:hAnsi="Arial" w:cs="Arial"/>
          <w:sz w:val="22"/>
          <w:szCs w:val="20"/>
        </w:rPr>
        <w:t xml:space="preserve">This </w:t>
      </w:r>
      <w:r w:rsidRPr="001F0DED">
        <w:rPr>
          <w:rFonts w:ascii="Arial" w:hAnsi="Arial" w:cs="Arial"/>
          <w:sz w:val="22"/>
          <w:szCs w:val="20"/>
        </w:rPr>
        <w:t xml:space="preserve">should be the difference between what was net revenue as a 340B entity </w:t>
      </w:r>
      <w:r w:rsidR="002D5BF0" w:rsidRPr="001F0DED">
        <w:rPr>
          <w:rFonts w:ascii="Arial" w:hAnsi="Arial" w:cs="Arial"/>
          <w:sz w:val="22"/>
          <w:szCs w:val="20"/>
        </w:rPr>
        <w:t xml:space="preserve">and </w:t>
      </w:r>
      <w:r w:rsidRPr="001F0DED">
        <w:rPr>
          <w:rFonts w:ascii="Arial" w:hAnsi="Arial" w:cs="Arial"/>
          <w:sz w:val="22"/>
          <w:szCs w:val="20"/>
        </w:rPr>
        <w:t>what would have been net revenue as a non-340B entity (this would include non-340B reimbursement, but also non-340B drug cost); many sites find this very difficult</w:t>
      </w:r>
      <w:r w:rsidR="002D5BF0" w:rsidRPr="001F0DED">
        <w:rPr>
          <w:rFonts w:ascii="Arial" w:hAnsi="Arial" w:cs="Arial"/>
          <w:sz w:val="22"/>
          <w:szCs w:val="20"/>
        </w:rPr>
        <w:t>,</w:t>
      </w:r>
      <w:r w:rsidRPr="001F0DED">
        <w:rPr>
          <w:rFonts w:ascii="Arial" w:hAnsi="Arial" w:cs="Arial"/>
          <w:sz w:val="22"/>
          <w:szCs w:val="20"/>
        </w:rPr>
        <w:t xml:space="preserve"> if not impossible</w:t>
      </w:r>
      <w:r w:rsidR="002D5BF0" w:rsidRPr="001F0DED">
        <w:rPr>
          <w:rFonts w:ascii="Arial" w:hAnsi="Arial" w:cs="Arial"/>
          <w:sz w:val="22"/>
          <w:szCs w:val="20"/>
        </w:rPr>
        <w:t>,</w:t>
      </w:r>
      <w:r w:rsidRPr="001F0DED">
        <w:rPr>
          <w:rFonts w:ascii="Arial" w:hAnsi="Arial" w:cs="Arial"/>
          <w:sz w:val="22"/>
          <w:szCs w:val="20"/>
        </w:rPr>
        <w:t xml:space="preserve"> to calculate</w:t>
      </w:r>
      <w:r w:rsidR="002D5BF0" w:rsidRPr="001F0DED">
        <w:rPr>
          <w:rFonts w:ascii="Arial" w:hAnsi="Arial" w:cs="Arial"/>
          <w:sz w:val="22"/>
          <w:szCs w:val="20"/>
        </w:rPr>
        <w:t>.</w:t>
      </w:r>
      <w:r w:rsidRPr="001F0DED">
        <w:rPr>
          <w:rFonts w:ascii="Arial" w:hAnsi="Arial" w:cs="Arial"/>
          <w:sz w:val="22"/>
          <w:szCs w:val="20"/>
        </w:rPr>
        <w:t xml:space="preserve"> </w:t>
      </w:r>
    </w:p>
    <w:p w14:paraId="6871F728" w14:textId="77777777" w:rsidR="007B2577" w:rsidRPr="00012990" w:rsidRDefault="007B2577" w:rsidP="007B2577">
      <w:pPr>
        <w:pStyle w:val="ListParagraph"/>
        <w:spacing w:line="276" w:lineRule="auto"/>
        <w:ind w:left="1350"/>
        <w:contextualSpacing w:val="0"/>
        <w:rPr>
          <w:rFonts w:ascii="Arial" w:hAnsi="Arial" w:cs="Arial"/>
          <w:sz w:val="20"/>
          <w:szCs w:val="20"/>
        </w:rPr>
      </w:pPr>
    </w:p>
    <w:tbl>
      <w:tblPr>
        <w:tblStyle w:val="LightGrid-Accent11"/>
        <w:tblpPr w:leftFromText="180" w:rightFromText="180" w:vertAnchor="text" w:horzAnchor="margin" w:tblpXSpec="center" w:tblpY="36"/>
        <w:tblW w:w="0" w:type="auto"/>
        <w:tblLook w:val="04A0" w:firstRow="1" w:lastRow="0" w:firstColumn="1" w:lastColumn="0" w:noHBand="0" w:noVBand="1"/>
      </w:tblPr>
      <w:tblGrid>
        <w:gridCol w:w="2813"/>
        <w:gridCol w:w="1370"/>
        <w:gridCol w:w="805"/>
        <w:gridCol w:w="2902"/>
        <w:gridCol w:w="947"/>
        <w:gridCol w:w="1943"/>
      </w:tblGrid>
      <w:tr w:rsidR="000E73EC" w:rsidRPr="00012990" w14:paraId="0D115BC4" w14:textId="77777777" w:rsidTr="001F0DE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68" w:type="dxa"/>
            <w:gridSpan w:val="6"/>
            <w:shd w:val="clear" w:color="auto" w:fill="002060"/>
            <w:vAlign w:val="center"/>
          </w:tcPr>
          <w:p w14:paraId="5571E2A9" w14:textId="609F552A" w:rsidR="000E73EC" w:rsidRPr="00012990" w:rsidRDefault="000E73EC" w:rsidP="001F0DED">
            <w:pPr>
              <w:jc w:val="center"/>
              <w:rPr>
                <w:rFonts w:ascii="Arial" w:hAnsi="Arial" w:cs="Arial"/>
                <w:color w:val="FFFFFF" w:themeColor="background1"/>
                <w:sz w:val="20"/>
                <w:szCs w:val="20"/>
              </w:rPr>
            </w:pPr>
            <w:r w:rsidRPr="00012990">
              <w:rPr>
                <w:rFonts w:ascii="Arial" w:hAnsi="Arial" w:cs="Arial"/>
                <w:color w:val="FFFFFF" w:themeColor="background1"/>
                <w:sz w:val="20"/>
                <w:szCs w:val="20"/>
              </w:rPr>
              <w:lastRenderedPageBreak/>
              <w:t xml:space="preserve">TABLE 1: 340B </w:t>
            </w:r>
            <w:r w:rsidR="00872341">
              <w:rPr>
                <w:rFonts w:ascii="Arial" w:hAnsi="Arial" w:cs="Arial"/>
                <w:color w:val="FFFFFF" w:themeColor="background1"/>
                <w:sz w:val="20"/>
                <w:szCs w:val="20"/>
              </w:rPr>
              <w:t>NET FINANCIAL IMPACT</w:t>
            </w:r>
          </w:p>
        </w:tc>
      </w:tr>
      <w:tr w:rsidR="000E73EC" w:rsidRPr="003A3D09" w14:paraId="54A48625" w14:textId="77777777" w:rsidTr="00D93E31">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5210" w:type="dxa"/>
            <w:gridSpan w:val="2"/>
          </w:tcPr>
          <w:p w14:paraId="6DFA3708" w14:textId="77777777" w:rsidR="000E73EC" w:rsidRPr="003A3D09" w:rsidRDefault="000E73EC" w:rsidP="00D93E31">
            <w:pPr>
              <w:jc w:val="center"/>
              <w:rPr>
                <w:rFonts w:ascii="Arial" w:hAnsi="Arial" w:cs="Arial"/>
                <w:sz w:val="18"/>
                <w:szCs w:val="18"/>
              </w:rPr>
            </w:pPr>
          </w:p>
          <w:p w14:paraId="331E1D07" w14:textId="77777777" w:rsidR="000E73EC" w:rsidRPr="003A3D09" w:rsidRDefault="000E73EC" w:rsidP="00D93E31">
            <w:pPr>
              <w:jc w:val="center"/>
              <w:rPr>
                <w:rFonts w:ascii="Arial" w:hAnsi="Arial" w:cs="Arial"/>
                <w:sz w:val="18"/>
                <w:szCs w:val="18"/>
              </w:rPr>
            </w:pPr>
            <w:r w:rsidRPr="003A3D09">
              <w:rPr>
                <w:rFonts w:ascii="Arial" w:hAnsi="Arial" w:cs="Arial"/>
                <w:sz w:val="18"/>
                <w:szCs w:val="18"/>
              </w:rPr>
              <w:t>340B Benefits</w:t>
            </w:r>
          </w:p>
          <w:p w14:paraId="254C5768" w14:textId="77777777" w:rsidR="000E73EC" w:rsidRPr="003A3D09" w:rsidRDefault="000E73EC" w:rsidP="00D93E31">
            <w:pPr>
              <w:rPr>
                <w:rFonts w:ascii="Arial" w:hAnsi="Arial" w:cs="Arial"/>
                <w:b w:val="0"/>
                <w:i/>
                <w:sz w:val="18"/>
                <w:szCs w:val="18"/>
              </w:rPr>
            </w:pPr>
            <w:r w:rsidRPr="003A3D09">
              <w:rPr>
                <w:rFonts w:ascii="Arial" w:hAnsi="Arial" w:cs="Arial"/>
                <w:b w:val="0"/>
                <w:i/>
                <w:sz w:val="18"/>
                <w:szCs w:val="18"/>
              </w:rPr>
              <w:t xml:space="preserve">Add the following three metrics together for total 340B benefit. </w:t>
            </w:r>
          </w:p>
          <w:p w14:paraId="7CC1FDA7" w14:textId="77777777" w:rsidR="000E73EC" w:rsidRPr="003A3D09" w:rsidRDefault="000E73EC" w:rsidP="00D93E31">
            <w:pPr>
              <w:rPr>
                <w:rFonts w:ascii="Arial" w:hAnsi="Arial" w:cs="Arial"/>
                <w:sz w:val="18"/>
                <w:szCs w:val="18"/>
              </w:rPr>
            </w:pPr>
          </w:p>
          <w:p w14:paraId="392CFDCF" w14:textId="77777777" w:rsidR="000E73EC" w:rsidRPr="003A3D09" w:rsidRDefault="000E73EC" w:rsidP="00DF5B07">
            <w:pPr>
              <w:spacing w:after="60"/>
              <w:rPr>
                <w:rFonts w:ascii="Arial" w:hAnsi="Arial" w:cs="Arial"/>
                <w:sz w:val="18"/>
                <w:szCs w:val="18"/>
              </w:rPr>
            </w:pPr>
            <w:r w:rsidRPr="003A3D09">
              <w:rPr>
                <w:rFonts w:ascii="Arial" w:hAnsi="Arial" w:cs="Arial"/>
                <w:sz w:val="18"/>
                <w:szCs w:val="18"/>
              </w:rPr>
              <w:t>TOTAL:                         $</w:t>
            </w:r>
          </w:p>
        </w:tc>
        <w:tc>
          <w:tcPr>
            <w:tcW w:w="810" w:type="dxa"/>
          </w:tcPr>
          <w:p w14:paraId="0E11B7B5" w14:textId="77777777" w:rsidR="000E73EC" w:rsidRPr="003A3D09" w:rsidRDefault="000E73EC" w:rsidP="00D93E3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p w14:paraId="58C1557F" w14:textId="77777777" w:rsidR="000E73EC" w:rsidRPr="003A3D09" w:rsidRDefault="000E73EC" w:rsidP="00D93E3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3A3D09">
              <w:rPr>
                <w:rFonts w:ascii="Arial" w:hAnsi="Arial" w:cs="Arial"/>
                <w:noProof/>
                <w:sz w:val="18"/>
                <w:szCs w:val="18"/>
              </w:rPr>
              <w:t>MINUS</w:t>
            </w:r>
          </w:p>
          <w:p w14:paraId="0BF9D290" w14:textId="5685AC52" w:rsidR="000E73EC" w:rsidRPr="003A3D09" w:rsidRDefault="002D5BF0" w:rsidP="002D5BF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noProof/>
                <w:sz w:val="18"/>
                <w:szCs w:val="18"/>
              </w:rPr>
              <w:t>–</w:t>
            </w:r>
          </w:p>
        </w:tc>
        <w:tc>
          <w:tcPr>
            <w:tcW w:w="3690" w:type="dxa"/>
          </w:tcPr>
          <w:p w14:paraId="0A0FA799"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159D3E6C"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A3D09">
              <w:rPr>
                <w:rFonts w:ascii="Arial" w:hAnsi="Arial" w:cs="Arial"/>
                <w:b/>
                <w:sz w:val="18"/>
                <w:szCs w:val="18"/>
              </w:rPr>
              <w:t>340B Compliance Maintenance Costs</w:t>
            </w:r>
          </w:p>
          <w:p w14:paraId="4C7084A8"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139E0F8E"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31C76AFE"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A3D09">
              <w:rPr>
                <w:rFonts w:ascii="Arial" w:hAnsi="Arial" w:cs="Arial"/>
                <w:b/>
                <w:sz w:val="18"/>
                <w:szCs w:val="18"/>
              </w:rPr>
              <w:t>TOTAL:     $</w:t>
            </w:r>
          </w:p>
        </w:tc>
        <w:tc>
          <w:tcPr>
            <w:tcW w:w="947" w:type="dxa"/>
          </w:tcPr>
          <w:p w14:paraId="4A6052C9" w14:textId="77777777" w:rsidR="000E73EC" w:rsidRPr="003A3D09" w:rsidRDefault="000E73EC" w:rsidP="00D93E3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p w14:paraId="6C54D1EB" w14:textId="77777777" w:rsidR="000E73EC" w:rsidRPr="003A3D09" w:rsidRDefault="000E73EC" w:rsidP="00D93E3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3A3D09">
              <w:rPr>
                <w:rFonts w:ascii="Arial" w:hAnsi="Arial" w:cs="Arial"/>
                <w:noProof/>
                <w:sz w:val="18"/>
                <w:szCs w:val="18"/>
              </w:rPr>
              <w:t>EQUALS</w:t>
            </w:r>
          </w:p>
          <w:p w14:paraId="0D06099A" w14:textId="77777777" w:rsidR="000E73EC" w:rsidRPr="003A3D09" w:rsidRDefault="000E73EC" w:rsidP="00D93E3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A3D09">
              <w:rPr>
                <w:rFonts w:ascii="Arial" w:hAnsi="Arial" w:cs="Arial"/>
                <w:b/>
                <w:sz w:val="18"/>
                <w:szCs w:val="18"/>
              </w:rPr>
              <w:t>=</w:t>
            </w:r>
          </w:p>
        </w:tc>
        <w:tc>
          <w:tcPr>
            <w:tcW w:w="2411" w:type="dxa"/>
          </w:tcPr>
          <w:p w14:paraId="3BAB1BB5"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2E52C286"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A3D09">
              <w:rPr>
                <w:rFonts w:ascii="Arial" w:hAnsi="Arial" w:cs="Arial"/>
                <w:b/>
                <w:sz w:val="18"/>
                <w:szCs w:val="18"/>
              </w:rPr>
              <w:t>340B Net Financial Impact</w:t>
            </w:r>
          </w:p>
          <w:p w14:paraId="37FD6B5E"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29DED5E6" w14:textId="77777777" w:rsidR="00DF5B07" w:rsidRDefault="00DF5B07"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100CC314" w14:textId="46F46BF8"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A3D09">
              <w:rPr>
                <w:rFonts w:ascii="Arial" w:hAnsi="Arial" w:cs="Arial"/>
                <w:b/>
                <w:sz w:val="18"/>
                <w:szCs w:val="18"/>
              </w:rPr>
              <w:t>$</w:t>
            </w:r>
          </w:p>
        </w:tc>
      </w:tr>
      <w:tr w:rsidR="000E73EC" w:rsidRPr="003A3D09" w14:paraId="4C00AFAF" w14:textId="77777777" w:rsidTr="00DF5B0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46BB15E7" w14:textId="5B930B44" w:rsidR="000E73EC" w:rsidRPr="003A3D09" w:rsidRDefault="000E73EC" w:rsidP="00DF5B07">
            <w:pPr>
              <w:spacing w:before="60" w:after="60"/>
              <w:rPr>
                <w:rFonts w:ascii="Arial" w:hAnsi="Arial" w:cs="Arial"/>
                <w:b w:val="0"/>
                <w:sz w:val="18"/>
                <w:szCs w:val="18"/>
              </w:rPr>
            </w:pPr>
            <w:r w:rsidRPr="003A3D09">
              <w:rPr>
                <w:rFonts w:ascii="Arial" w:hAnsi="Arial" w:cs="Arial"/>
                <w:b w:val="0"/>
                <w:sz w:val="18"/>
                <w:szCs w:val="18"/>
              </w:rPr>
              <w:t>Physician-administered/clinics</w:t>
            </w:r>
          </w:p>
        </w:tc>
        <w:tc>
          <w:tcPr>
            <w:tcW w:w="1890" w:type="dxa"/>
            <w:vAlign w:val="center"/>
          </w:tcPr>
          <w:p w14:paraId="12441E4E"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A3D09">
              <w:rPr>
                <w:rFonts w:ascii="Arial" w:hAnsi="Arial" w:cs="Arial"/>
                <w:sz w:val="18"/>
                <w:szCs w:val="18"/>
              </w:rPr>
              <w:t>$</w:t>
            </w:r>
          </w:p>
        </w:tc>
        <w:tc>
          <w:tcPr>
            <w:tcW w:w="810" w:type="dxa"/>
            <w:vMerge w:val="restart"/>
            <w:shd w:val="clear" w:color="auto" w:fill="D3DFEE" w:themeFill="accent1" w:themeFillTint="3F"/>
            <w:vAlign w:val="center"/>
          </w:tcPr>
          <w:p w14:paraId="5A4B5294" w14:textId="61309822" w:rsidR="000E73EC" w:rsidRPr="003A3D09" w:rsidRDefault="002D5BF0" w:rsidP="00D93E3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noProof/>
                <w:sz w:val="18"/>
                <w:szCs w:val="18"/>
              </w:rPr>
              <w:t>–</w:t>
            </w:r>
          </w:p>
        </w:tc>
        <w:tc>
          <w:tcPr>
            <w:tcW w:w="3690" w:type="dxa"/>
            <w:vMerge w:val="restart"/>
            <w:vAlign w:val="center"/>
          </w:tcPr>
          <w:p w14:paraId="16ABD31B"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47" w:type="dxa"/>
            <w:vMerge w:val="restart"/>
            <w:shd w:val="clear" w:color="auto" w:fill="D3DFEE" w:themeFill="accent1" w:themeFillTint="3F"/>
            <w:vAlign w:val="center"/>
          </w:tcPr>
          <w:p w14:paraId="58CE7665" w14:textId="77777777" w:rsidR="000E73EC" w:rsidRPr="003A3D09" w:rsidRDefault="000E73EC" w:rsidP="00D93E31">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A3D09">
              <w:rPr>
                <w:rFonts w:ascii="Arial" w:hAnsi="Arial" w:cs="Arial"/>
                <w:b/>
                <w:sz w:val="18"/>
                <w:szCs w:val="18"/>
              </w:rPr>
              <w:t>=</w:t>
            </w:r>
          </w:p>
        </w:tc>
        <w:tc>
          <w:tcPr>
            <w:tcW w:w="2411" w:type="dxa"/>
            <w:vMerge w:val="restart"/>
            <w:vAlign w:val="center"/>
          </w:tcPr>
          <w:p w14:paraId="03A0D464"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0E73EC" w:rsidRPr="003A3D09" w14:paraId="42C473C8" w14:textId="77777777" w:rsidTr="00D93E31">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320" w:type="dxa"/>
            <w:shd w:val="clear" w:color="auto" w:fill="auto"/>
            <w:vAlign w:val="center"/>
          </w:tcPr>
          <w:p w14:paraId="51609E9F" w14:textId="332415D5" w:rsidR="000E73EC" w:rsidRPr="003A3D09" w:rsidRDefault="000E73EC" w:rsidP="00DF5B07">
            <w:pPr>
              <w:spacing w:before="60" w:after="60"/>
              <w:rPr>
                <w:rFonts w:ascii="Arial" w:hAnsi="Arial" w:cs="Arial"/>
                <w:b w:val="0"/>
                <w:sz w:val="18"/>
                <w:szCs w:val="18"/>
              </w:rPr>
            </w:pPr>
            <w:r w:rsidRPr="003A3D09">
              <w:rPr>
                <w:rFonts w:ascii="Arial" w:hAnsi="Arial" w:cs="Arial"/>
                <w:b w:val="0"/>
                <w:sz w:val="18"/>
                <w:szCs w:val="18"/>
              </w:rPr>
              <w:t>Entity-owned retail pharmacy</w:t>
            </w:r>
          </w:p>
        </w:tc>
        <w:tc>
          <w:tcPr>
            <w:tcW w:w="1890" w:type="dxa"/>
            <w:shd w:val="clear" w:color="auto" w:fill="auto"/>
            <w:vAlign w:val="center"/>
          </w:tcPr>
          <w:p w14:paraId="02B20FA2"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3D09">
              <w:rPr>
                <w:rFonts w:ascii="Arial" w:hAnsi="Arial" w:cs="Arial"/>
                <w:sz w:val="18"/>
                <w:szCs w:val="18"/>
              </w:rPr>
              <w:t>$</w:t>
            </w:r>
          </w:p>
        </w:tc>
        <w:tc>
          <w:tcPr>
            <w:tcW w:w="810" w:type="dxa"/>
            <w:vMerge/>
            <w:vAlign w:val="center"/>
          </w:tcPr>
          <w:p w14:paraId="040E737A"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90" w:type="dxa"/>
            <w:vMerge/>
            <w:vAlign w:val="center"/>
          </w:tcPr>
          <w:p w14:paraId="3970B696"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47" w:type="dxa"/>
            <w:vMerge/>
            <w:vAlign w:val="center"/>
          </w:tcPr>
          <w:p w14:paraId="341969DB"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11" w:type="dxa"/>
            <w:vMerge/>
            <w:vAlign w:val="center"/>
          </w:tcPr>
          <w:p w14:paraId="4DFECB27" w14:textId="77777777" w:rsidR="000E73EC" w:rsidRPr="003A3D09" w:rsidRDefault="000E73EC" w:rsidP="00D93E3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E73EC" w:rsidRPr="003A3D09" w14:paraId="1F33EE99" w14:textId="77777777" w:rsidTr="00D93E3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059A869E" w14:textId="0A6655F6" w:rsidR="000E73EC" w:rsidRPr="003A3D09" w:rsidRDefault="000E73EC" w:rsidP="00DF5B07">
            <w:pPr>
              <w:spacing w:before="60" w:after="60"/>
              <w:rPr>
                <w:rFonts w:ascii="Arial" w:hAnsi="Arial" w:cs="Arial"/>
                <w:b w:val="0"/>
                <w:sz w:val="18"/>
                <w:szCs w:val="18"/>
              </w:rPr>
            </w:pPr>
            <w:r w:rsidRPr="003A3D09">
              <w:rPr>
                <w:rFonts w:ascii="Arial" w:hAnsi="Arial" w:cs="Arial"/>
                <w:b w:val="0"/>
                <w:sz w:val="18"/>
                <w:szCs w:val="18"/>
              </w:rPr>
              <w:t>Contract pharmacy</w:t>
            </w:r>
          </w:p>
        </w:tc>
        <w:tc>
          <w:tcPr>
            <w:tcW w:w="1890" w:type="dxa"/>
            <w:vAlign w:val="center"/>
          </w:tcPr>
          <w:p w14:paraId="142B0F67"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A3D09">
              <w:rPr>
                <w:rFonts w:ascii="Arial" w:hAnsi="Arial" w:cs="Arial"/>
                <w:sz w:val="18"/>
                <w:szCs w:val="18"/>
              </w:rPr>
              <w:t>$</w:t>
            </w:r>
          </w:p>
        </w:tc>
        <w:tc>
          <w:tcPr>
            <w:tcW w:w="810" w:type="dxa"/>
            <w:vMerge/>
            <w:shd w:val="clear" w:color="auto" w:fill="D3DFEE" w:themeFill="accent1" w:themeFillTint="3F"/>
            <w:vAlign w:val="center"/>
          </w:tcPr>
          <w:p w14:paraId="52FA9824"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690" w:type="dxa"/>
            <w:vMerge/>
            <w:vAlign w:val="center"/>
          </w:tcPr>
          <w:p w14:paraId="72AB7FFB"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47" w:type="dxa"/>
            <w:vMerge/>
            <w:shd w:val="clear" w:color="auto" w:fill="D3DFEE" w:themeFill="accent1" w:themeFillTint="3F"/>
            <w:vAlign w:val="center"/>
          </w:tcPr>
          <w:p w14:paraId="3859B765"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411" w:type="dxa"/>
            <w:vMerge/>
            <w:vAlign w:val="center"/>
          </w:tcPr>
          <w:p w14:paraId="64DD773B" w14:textId="77777777" w:rsidR="000E73EC" w:rsidRPr="003A3D09" w:rsidRDefault="000E73EC" w:rsidP="00D93E3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14:paraId="42EA5BAB" w14:textId="77239936" w:rsidR="000E73EC" w:rsidRPr="003A3D09" w:rsidRDefault="000E73EC">
      <w:pPr>
        <w:spacing w:after="200" w:line="276" w:lineRule="auto"/>
        <w:rPr>
          <w:rFonts w:ascii="Arial" w:hAnsi="Arial" w:cs="Arial"/>
          <w:b/>
          <w:sz w:val="18"/>
          <w:szCs w:val="18"/>
        </w:rPr>
      </w:pPr>
    </w:p>
    <w:p w14:paraId="655DC8D1" w14:textId="5F0857EB" w:rsidR="00A842ED" w:rsidRDefault="00A842ED" w:rsidP="00DF5B07">
      <w:pPr>
        <w:spacing w:after="240"/>
        <w:rPr>
          <w:rFonts w:ascii="Arial" w:hAnsi="Arial" w:cs="Arial"/>
          <w:b/>
          <w:sz w:val="22"/>
          <w:szCs w:val="20"/>
        </w:rPr>
      </w:pPr>
      <w:r w:rsidRPr="001F0DED">
        <w:rPr>
          <w:rFonts w:ascii="Arial" w:hAnsi="Arial" w:cs="Arial"/>
          <w:b/>
          <w:sz w:val="22"/>
          <w:szCs w:val="20"/>
        </w:rPr>
        <w:t>Instructions</w:t>
      </w:r>
      <w:r w:rsidR="002D5BF0" w:rsidRPr="001F0DED">
        <w:rPr>
          <w:rFonts w:ascii="Arial" w:hAnsi="Arial" w:cs="Arial"/>
          <w:b/>
          <w:sz w:val="22"/>
          <w:szCs w:val="20"/>
        </w:rPr>
        <w:t>,</w:t>
      </w:r>
      <w:r w:rsidRPr="001F0DED">
        <w:rPr>
          <w:rFonts w:ascii="Arial" w:hAnsi="Arial" w:cs="Arial"/>
          <w:b/>
          <w:sz w:val="22"/>
          <w:szCs w:val="20"/>
        </w:rPr>
        <w:t xml:space="preserve"> Table 2: Documenting Use of 340B Savings</w:t>
      </w:r>
    </w:p>
    <w:p w14:paraId="5F560DE2" w14:textId="7D52625B" w:rsidR="007C42E3" w:rsidRPr="001F0DED" w:rsidRDefault="007C42E3" w:rsidP="00DF5B07">
      <w:pPr>
        <w:spacing w:after="240"/>
        <w:rPr>
          <w:rFonts w:ascii="Arial" w:hAnsi="Arial" w:cs="Arial"/>
          <w:sz w:val="22"/>
          <w:szCs w:val="20"/>
        </w:rPr>
      </w:pPr>
      <w:r w:rsidRPr="001F0DED">
        <w:rPr>
          <w:rFonts w:ascii="Arial" w:hAnsi="Arial" w:cs="Arial"/>
          <w:sz w:val="22"/>
          <w:szCs w:val="20"/>
        </w:rPr>
        <w:t xml:space="preserve">It is not standard practice in health care accounting to link a dollar </w:t>
      </w:r>
      <w:r w:rsidR="004A33A8" w:rsidRPr="001F0DED">
        <w:rPr>
          <w:rFonts w:ascii="Arial" w:hAnsi="Arial" w:cs="Arial"/>
          <w:sz w:val="22"/>
          <w:szCs w:val="20"/>
        </w:rPr>
        <w:t xml:space="preserve">amount </w:t>
      </w:r>
      <w:r w:rsidRPr="001F0DED">
        <w:rPr>
          <w:rFonts w:ascii="Arial" w:hAnsi="Arial" w:cs="Arial"/>
          <w:sz w:val="22"/>
          <w:szCs w:val="20"/>
        </w:rPr>
        <w:t xml:space="preserve">saved on an expense line with direct funding to a program or service. For this reason, many covered entities </w:t>
      </w:r>
      <w:r w:rsidR="007F0AA4" w:rsidRPr="001F0DED">
        <w:rPr>
          <w:rFonts w:ascii="Arial" w:hAnsi="Arial" w:cs="Arial"/>
          <w:sz w:val="22"/>
          <w:szCs w:val="20"/>
        </w:rPr>
        <w:t xml:space="preserve">consider </w:t>
      </w:r>
      <w:r w:rsidR="004A33A8" w:rsidRPr="001F0DED">
        <w:rPr>
          <w:rFonts w:ascii="Arial" w:hAnsi="Arial" w:cs="Arial"/>
          <w:sz w:val="22"/>
          <w:szCs w:val="20"/>
        </w:rPr>
        <w:t>aggregate</w:t>
      </w:r>
      <w:r w:rsidRPr="001F0DED">
        <w:rPr>
          <w:rFonts w:ascii="Arial" w:hAnsi="Arial" w:cs="Arial"/>
          <w:sz w:val="22"/>
          <w:szCs w:val="20"/>
        </w:rPr>
        <w:t xml:space="preserve"> areas of community benefit and charity care. This tool provides space for covered entities to have flexibility in their approach, and it lists additional areas that may not be captured in a community benefit calculation, such as services targeted to vulnerable populations. A few best practices for using this tool include:</w:t>
      </w:r>
    </w:p>
    <w:p w14:paraId="7F9901EA" w14:textId="0BA306B8" w:rsidR="007C42E3" w:rsidRPr="001F0DED" w:rsidRDefault="007C42E3" w:rsidP="007C42E3">
      <w:pPr>
        <w:pStyle w:val="ListParagraph"/>
        <w:numPr>
          <w:ilvl w:val="0"/>
          <w:numId w:val="20"/>
        </w:numPr>
        <w:spacing w:after="160" w:line="259" w:lineRule="auto"/>
        <w:rPr>
          <w:rFonts w:ascii="Arial" w:hAnsi="Arial" w:cs="Arial"/>
          <w:sz w:val="22"/>
          <w:szCs w:val="20"/>
        </w:rPr>
      </w:pPr>
      <w:r w:rsidRPr="001F0DED">
        <w:rPr>
          <w:rFonts w:ascii="Arial" w:hAnsi="Arial" w:cs="Arial"/>
          <w:sz w:val="22"/>
          <w:szCs w:val="20"/>
        </w:rPr>
        <w:t>Work</w:t>
      </w:r>
      <w:r w:rsidR="004A33A8" w:rsidRPr="001F0DED">
        <w:rPr>
          <w:rFonts w:ascii="Arial" w:hAnsi="Arial" w:cs="Arial"/>
          <w:sz w:val="22"/>
          <w:szCs w:val="20"/>
        </w:rPr>
        <w:t>ing</w:t>
      </w:r>
      <w:r w:rsidRPr="001F0DED">
        <w:rPr>
          <w:rFonts w:ascii="Arial" w:hAnsi="Arial" w:cs="Arial"/>
          <w:sz w:val="22"/>
          <w:szCs w:val="20"/>
        </w:rPr>
        <w:t xml:space="preserve"> with reimbursement or finance departments to gain access to </w:t>
      </w:r>
      <w:r w:rsidR="004A33A8" w:rsidRPr="001F0DED">
        <w:rPr>
          <w:rFonts w:ascii="Arial" w:hAnsi="Arial" w:cs="Arial"/>
          <w:sz w:val="22"/>
          <w:szCs w:val="20"/>
        </w:rPr>
        <w:t>the listed resources</w:t>
      </w:r>
    </w:p>
    <w:p w14:paraId="2BEB68D1" w14:textId="0014151C" w:rsidR="004A33A8" w:rsidRPr="001F0DED" w:rsidRDefault="00B66645" w:rsidP="007C42E3">
      <w:pPr>
        <w:pStyle w:val="ListParagraph"/>
        <w:numPr>
          <w:ilvl w:val="0"/>
          <w:numId w:val="20"/>
        </w:numPr>
        <w:spacing w:after="160" w:line="259" w:lineRule="auto"/>
        <w:rPr>
          <w:rFonts w:ascii="Arial" w:hAnsi="Arial" w:cs="Arial"/>
          <w:sz w:val="22"/>
          <w:szCs w:val="20"/>
        </w:rPr>
      </w:pPr>
      <w:r w:rsidRPr="001F0DED">
        <w:rPr>
          <w:rFonts w:ascii="Arial" w:hAnsi="Arial" w:cs="Arial"/>
          <w:sz w:val="22"/>
          <w:szCs w:val="20"/>
        </w:rPr>
        <w:t xml:space="preserve">Reviewing </w:t>
      </w:r>
      <w:r w:rsidR="007C42E3" w:rsidRPr="001F0DED">
        <w:rPr>
          <w:rFonts w:ascii="Arial" w:hAnsi="Arial" w:cs="Arial"/>
          <w:sz w:val="22"/>
          <w:szCs w:val="20"/>
        </w:rPr>
        <w:t>financial information and evaluat</w:t>
      </w:r>
      <w:r w:rsidR="004A33A8" w:rsidRPr="001F0DED">
        <w:rPr>
          <w:rFonts w:ascii="Arial" w:hAnsi="Arial" w:cs="Arial"/>
          <w:sz w:val="22"/>
          <w:szCs w:val="20"/>
        </w:rPr>
        <w:t>ing</w:t>
      </w:r>
      <w:r w:rsidR="007C42E3" w:rsidRPr="001F0DED">
        <w:rPr>
          <w:rFonts w:ascii="Arial" w:hAnsi="Arial" w:cs="Arial"/>
          <w:sz w:val="22"/>
          <w:szCs w:val="20"/>
        </w:rPr>
        <w:t xml:space="preserve"> whether the</w:t>
      </w:r>
      <w:r w:rsidRPr="001F0DED">
        <w:rPr>
          <w:rFonts w:ascii="Arial" w:hAnsi="Arial" w:cs="Arial"/>
          <w:sz w:val="22"/>
          <w:szCs w:val="20"/>
        </w:rPr>
        <w:t xml:space="preserve"> </w:t>
      </w:r>
      <w:r w:rsidR="007C42E3" w:rsidRPr="001F0DED">
        <w:rPr>
          <w:rFonts w:ascii="Arial" w:hAnsi="Arial" w:cs="Arial"/>
          <w:sz w:val="22"/>
          <w:szCs w:val="20"/>
        </w:rPr>
        <w:t>numbers represent actual costs or charges</w:t>
      </w:r>
    </w:p>
    <w:p w14:paraId="0120E8AE" w14:textId="5E21C3D0" w:rsidR="007C42E3" w:rsidRPr="001F0DED" w:rsidRDefault="006F1356" w:rsidP="007F0AA4">
      <w:pPr>
        <w:pStyle w:val="ListParagraph"/>
        <w:numPr>
          <w:ilvl w:val="1"/>
          <w:numId w:val="20"/>
        </w:numPr>
        <w:spacing w:after="160" w:line="259" w:lineRule="auto"/>
        <w:rPr>
          <w:rFonts w:ascii="Arial" w:hAnsi="Arial" w:cs="Arial"/>
          <w:sz w:val="22"/>
          <w:szCs w:val="20"/>
        </w:rPr>
      </w:pPr>
      <w:r w:rsidRPr="001F0DED">
        <w:rPr>
          <w:rFonts w:ascii="Arial" w:hAnsi="Arial" w:cs="Arial"/>
          <w:sz w:val="22"/>
          <w:szCs w:val="20"/>
        </w:rPr>
        <w:t>A cost-to-</w:t>
      </w:r>
      <w:r w:rsidR="007C42E3" w:rsidRPr="001F0DED">
        <w:rPr>
          <w:rFonts w:ascii="Arial" w:hAnsi="Arial" w:cs="Arial"/>
          <w:sz w:val="22"/>
          <w:szCs w:val="20"/>
        </w:rPr>
        <w:t>charge ratio may be helpful in standardizing all information into actual costs</w:t>
      </w:r>
      <w:r w:rsidR="002D5BF0" w:rsidRPr="001F0DED">
        <w:rPr>
          <w:rFonts w:ascii="Arial" w:hAnsi="Arial" w:cs="Arial"/>
          <w:sz w:val="22"/>
          <w:szCs w:val="20"/>
        </w:rPr>
        <w:t>.</w:t>
      </w:r>
    </w:p>
    <w:p w14:paraId="668B0B03" w14:textId="2515D66A" w:rsidR="007C42E3" w:rsidRPr="001F0DED" w:rsidRDefault="006F1356" w:rsidP="00DF5B07">
      <w:pPr>
        <w:spacing w:after="240"/>
        <w:rPr>
          <w:rFonts w:ascii="Arial" w:hAnsi="Arial" w:cs="Arial"/>
          <w:sz w:val="22"/>
          <w:szCs w:val="20"/>
        </w:rPr>
      </w:pPr>
      <w:r w:rsidRPr="001F0DED">
        <w:rPr>
          <w:rFonts w:ascii="Arial" w:hAnsi="Arial" w:cs="Arial"/>
          <w:sz w:val="22"/>
          <w:szCs w:val="20"/>
        </w:rPr>
        <w:t>Although</w:t>
      </w:r>
      <w:r w:rsidR="007C42E3" w:rsidRPr="001F0DED">
        <w:rPr>
          <w:rFonts w:ascii="Arial" w:hAnsi="Arial" w:cs="Arial"/>
          <w:sz w:val="22"/>
          <w:szCs w:val="20"/>
        </w:rPr>
        <w:t xml:space="preserve"> it is a best practice </w:t>
      </w:r>
      <w:r w:rsidRPr="001F0DED">
        <w:rPr>
          <w:rFonts w:ascii="Arial" w:hAnsi="Arial" w:cs="Arial"/>
          <w:sz w:val="22"/>
          <w:szCs w:val="20"/>
        </w:rPr>
        <w:t>to align savings from the 340B P</w:t>
      </w:r>
      <w:r w:rsidR="007C42E3" w:rsidRPr="001F0DED">
        <w:rPr>
          <w:rFonts w:ascii="Arial" w:hAnsi="Arial" w:cs="Arial"/>
          <w:sz w:val="22"/>
          <w:szCs w:val="20"/>
        </w:rPr>
        <w:t xml:space="preserve">rogram directly to the cost of caring for the </w:t>
      </w:r>
      <w:r w:rsidR="00225EB4" w:rsidRPr="001F0DED">
        <w:rPr>
          <w:rFonts w:ascii="Arial" w:hAnsi="Arial" w:cs="Arial"/>
          <w:sz w:val="22"/>
          <w:szCs w:val="20"/>
        </w:rPr>
        <w:t>underserved</w:t>
      </w:r>
      <w:r w:rsidR="007C42E3" w:rsidRPr="001F0DED">
        <w:rPr>
          <w:rFonts w:ascii="Arial" w:hAnsi="Arial" w:cs="Arial"/>
          <w:sz w:val="22"/>
          <w:szCs w:val="20"/>
        </w:rPr>
        <w:t xml:space="preserve">, each covered entity may make its own determination as to which areas of benefit apply directly to </w:t>
      </w:r>
      <w:r w:rsidR="002D5BF0" w:rsidRPr="001F0DED">
        <w:rPr>
          <w:rFonts w:ascii="Arial" w:hAnsi="Arial" w:cs="Arial"/>
          <w:sz w:val="22"/>
          <w:szCs w:val="20"/>
        </w:rPr>
        <w:t xml:space="preserve">its </w:t>
      </w:r>
      <w:r w:rsidR="007C42E3" w:rsidRPr="001F0DED">
        <w:rPr>
          <w:rFonts w:ascii="Arial" w:hAnsi="Arial" w:cs="Arial"/>
          <w:sz w:val="22"/>
          <w:szCs w:val="20"/>
        </w:rPr>
        <w:t xml:space="preserve">340B Program. </w:t>
      </w:r>
      <w:r w:rsidR="002D5BF0" w:rsidRPr="001F0DED">
        <w:rPr>
          <w:rFonts w:ascii="Arial" w:hAnsi="Arial" w:cs="Arial"/>
          <w:sz w:val="22"/>
          <w:szCs w:val="20"/>
        </w:rPr>
        <w:t xml:space="preserve">Because </w:t>
      </w:r>
      <w:r w:rsidR="007C42E3" w:rsidRPr="001F0DED">
        <w:rPr>
          <w:rFonts w:ascii="Arial" w:hAnsi="Arial" w:cs="Arial"/>
          <w:sz w:val="22"/>
          <w:szCs w:val="20"/>
        </w:rPr>
        <w:t xml:space="preserve">many covered entity types report care to underserved populations differently, not every part of this tool will apply to all entity types. Examples are given in each of the </w:t>
      </w:r>
      <w:r w:rsidR="00B62419" w:rsidRPr="001F0DED">
        <w:rPr>
          <w:rFonts w:ascii="Arial" w:hAnsi="Arial" w:cs="Arial"/>
          <w:sz w:val="22"/>
          <w:szCs w:val="20"/>
        </w:rPr>
        <w:t xml:space="preserve">lists </w:t>
      </w:r>
      <w:r w:rsidRPr="001F0DED">
        <w:rPr>
          <w:rFonts w:ascii="Arial" w:hAnsi="Arial" w:cs="Arial"/>
          <w:sz w:val="22"/>
          <w:szCs w:val="20"/>
        </w:rPr>
        <w:t>that follow</w:t>
      </w:r>
      <w:r w:rsidR="007C42E3" w:rsidRPr="001F0DED">
        <w:rPr>
          <w:rFonts w:ascii="Arial" w:hAnsi="Arial" w:cs="Arial"/>
          <w:sz w:val="22"/>
          <w:szCs w:val="20"/>
        </w:rPr>
        <w:t xml:space="preserve"> as demonstrations of possible areas that may align with the 340B Program depending on the covered entity’s interpretation of </w:t>
      </w:r>
      <w:r w:rsidR="005454D2" w:rsidRPr="001F0DED">
        <w:rPr>
          <w:rFonts w:ascii="Arial" w:hAnsi="Arial" w:cs="Arial"/>
          <w:sz w:val="22"/>
          <w:szCs w:val="20"/>
        </w:rPr>
        <w:t xml:space="preserve">340B </w:t>
      </w:r>
      <w:r w:rsidR="007C42E3" w:rsidRPr="001F0DED">
        <w:rPr>
          <w:rFonts w:ascii="Arial" w:hAnsi="Arial" w:cs="Arial"/>
          <w:sz w:val="22"/>
          <w:szCs w:val="20"/>
        </w:rPr>
        <w:t>intent.</w:t>
      </w:r>
    </w:p>
    <w:p w14:paraId="4CB0CBE2" w14:textId="2C9D98D4" w:rsidR="007C42E3" w:rsidRPr="001F0DED" w:rsidRDefault="007C42E3" w:rsidP="00DF5B07">
      <w:pPr>
        <w:spacing w:after="240"/>
        <w:rPr>
          <w:rFonts w:ascii="Arial" w:hAnsi="Arial" w:cs="Arial"/>
          <w:sz w:val="22"/>
          <w:szCs w:val="20"/>
        </w:rPr>
      </w:pPr>
      <w:r w:rsidRPr="001F0DED">
        <w:rPr>
          <w:rFonts w:ascii="Arial" w:hAnsi="Arial" w:cs="Arial"/>
          <w:sz w:val="22"/>
          <w:szCs w:val="20"/>
        </w:rPr>
        <w:t>If you have nev</w:t>
      </w:r>
      <w:r w:rsidR="006F1356" w:rsidRPr="001F0DED">
        <w:rPr>
          <w:rFonts w:ascii="Arial" w:hAnsi="Arial" w:cs="Arial"/>
          <w:sz w:val="22"/>
          <w:szCs w:val="20"/>
        </w:rPr>
        <w:t>er completed this type of</w:t>
      </w:r>
      <w:r w:rsidRPr="001F0DED">
        <w:rPr>
          <w:rFonts w:ascii="Arial" w:hAnsi="Arial" w:cs="Arial"/>
          <w:sz w:val="22"/>
          <w:szCs w:val="20"/>
        </w:rPr>
        <w:t xml:space="preserve"> exercise before and would like more detailed instruction on where to look for these numbers, a detailed explanation can be found in the </w:t>
      </w:r>
      <w:hyperlink r:id="rId7" w:history="1">
        <w:r w:rsidR="006F1356" w:rsidRPr="001F0DED">
          <w:rPr>
            <w:rStyle w:val="Hyperlink"/>
            <w:rFonts w:ascii="Arial" w:hAnsi="Arial" w:cs="Arial"/>
            <w:sz w:val="22"/>
            <w:szCs w:val="20"/>
          </w:rPr>
          <w:t>340B Health Impact Profile Guidebook</w:t>
        </w:r>
      </w:hyperlink>
      <w:r w:rsidRPr="001F0DED">
        <w:rPr>
          <w:rFonts w:ascii="Arial" w:hAnsi="Arial" w:cs="Arial"/>
          <w:sz w:val="22"/>
          <w:szCs w:val="20"/>
        </w:rPr>
        <w:t>.</w:t>
      </w:r>
    </w:p>
    <w:p w14:paraId="45643A23" w14:textId="2081D702" w:rsidR="007B2577" w:rsidRPr="001F0DED" w:rsidRDefault="007C42E3" w:rsidP="007B2577">
      <w:pPr>
        <w:ind w:left="720"/>
        <w:rPr>
          <w:rFonts w:ascii="Arial" w:hAnsi="Arial" w:cs="Arial"/>
          <w:b/>
          <w:sz w:val="22"/>
          <w:szCs w:val="20"/>
        </w:rPr>
      </w:pPr>
      <w:r w:rsidRPr="001F0DED">
        <w:rPr>
          <w:rFonts w:ascii="Arial" w:hAnsi="Arial" w:cs="Arial"/>
          <w:b/>
          <w:sz w:val="22"/>
          <w:szCs w:val="20"/>
        </w:rPr>
        <w:t>Report</w:t>
      </w:r>
      <w:r w:rsidR="009734DA" w:rsidRPr="001F0DED">
        <w:rPr>
          <w:rFonts w:ascii="Arial" w:hAnsi="Arial" w:cs="Arial"/>
          <w:b/>
          <w:sz w:val="22"/>
          <w:szCs w:val="20"/>
        </w:rPr>
        <w:t xml:space="preserve">ed Community Benefit </w:t>
      </w:r>
    </w:p>
    <w:p w14:paraId="49DEB980" w14:textId="1B90684E" w:rsidR="007C42E3" w:rsidRPr="001F0DED" w:rsidRDefault="0035576C" w:rsidP="00012990">
      <w:pPr>
        <w:ind w:left="720"/>
        <w:rPr>
          <w:rFonts w:ascii="Arial" w:hAnsi="Arial" w:cs="Arial"/>
          <w:sz w:val="22"/>
          <w:szCs w:val="20"/>
        </w:rPr>
      </w:pPr>
      <w:r w:rsidRPr="001F0DED">
        <w:rPr>
          <w:rFonts w:ascii="Arial" w:hAnsi="Arial" w:cs="Arial"/>
          <w:sz w:val="22"/>
          <w:szCs w:val="20"/>
        </w:rPr>
        <w:t>C</w:t>
      </w:r>
      <w:r w:rsidR="007C42E3" w:rsidRPr="001F0DED">
        <w:rPr>
          <w:rFonts w:ascii="Arial" w:hAnsi="Arial" w:cs="Arial"/>
          <w:sz w:val="22"/>
          <w:szCs w:val="20"/>
        </w:rPr>
        <w:t xml:space="preserve">ommunity benefit </w:t>
      </w:r>
      <w:r w:rsidRPr="001F0DED">
        <w:rPr>
          <w:rFonts w:ascii="Arial" w:hAnsi="Arial" w:cs="Arial"/>
          <w:sz w:val="22"/>
          <w:szCs w:val="20"/>
        </w:rPr>
        <w:t xml:space="preserve">is </w:t>
      </w:r>
      <w:r w:rsidR="007C42E3" w:rsidRPr="001F0DED">
        <w:rPr>
          <w:rFonts w:ascii="Arial" w:hAnsi="Arial" w:cs="Arial"/>
          <w:sz w:val="22"/>
          <w:szCs w:val="20"/>
        </w:rPr>
        <w:t xml:space="preserve">often reported through a variety of </w:t>
      </w:r>
      <w:r w:rsidRPr="001F0DED">
        <w:rPr>
          <w:rFonts w:ascii="Arial" w:hAnsi="Arial" w:cs="Arial"/>
          <w:sz w:val="22"/>
          <w:szCs w:val="20"/>
        </w:rPr>
        <w:t xml:space="preserve">established </w:t>
      </w:r>
      <w:r w:rsidR="007C42E3" w:rsidRPr="001F0DED">
        <w:rPr>
          <w:rFonts w:ascii="Arial" w:hAnsi="Arial" w:cs="Arial"/>
          <w:sz w:val="22"/>
          <w:szCs w:val="20"/>
        </w:rPr>
        <w:t>mechanisms</w:t>
      </w:r>
      <w:r w:rsidR="002D5BF0" w:rsidRPr="001F0DED">
        <w:rPr>
          <w:rFonts w:ascii="Arial" w:hAnsi="Arial" w:cs="Arial"/>
          <w:sz w:val="22"/>
          <w:szCs w:val="20"/>
        </w:rPr>
        <w:t xml:space="preserve">. </w:t>
      </w:r>
      <w:r w:rsidR="000F3FC7" w:rsidRPr="001F0DED">
        <w:rPr>
          <w:rFonts w:ascii="Arial" w:hAnsi="Arial" w:cs="Arial"/>
          <w:sz w:val="22"/>
          <w:szCs w:val="20"/>
        </w:rPr>
        <w:t>The following forms are routinely used to report community benefit activities</w:t>
      </w:r>
      <w:r w:rsidR="002D5BF0" w:rsidRPr="001F0DED">
        <w:rPr>
          <w:rFonts w:ascii="Arial" w:hAnsi="Arial" w:cs="Arial"/>
          <w:sz w:val="22"/>
          <w:szCs w:val="20"/>
        </w:rPr>
        <w:t>:</w:t>
      </w:r>
    </w:p>
    <w:p w14:paraId="007F4463" w14:textId="77777777" w:rsidR="007C42E3" w:rsidRPr="001F0DED" w:rsidRDefault="007C42E3" w:rsidP="007B2577">
      <w:pPr>
        <w:pStyle w:val="ListParagraph"/>
        <w:numPr>
          <w:ilvl w:val="0"/>
          <w:numId w:val="24"/>
        </w:numPr>
        <w:spacing w:after="240"/>
        <w:ind w:left="1440"/>
        <w:rPr>
          <w:rFonts w:ascii="Arial" w:hAnsi="Arial" w:cs="Arial"/>
          <w:sz w:val="22"/>
          <w:szCs w:val="20"/>
        </w:rPr>
      </w:pPr>
      <w:r w:rsidRPr="001F0DED">
        <w:rPr>
          <w:rFonts w:ascii="Arial" w:hAnsi="Arial" w:cs="Arial"/>
          <w:sz w:val="22"/>
          <w:szCs w:val="20"/>
        </w:rPr>
        <w:t>Medicare Cost Report, Worksheet S10</w:t>
      </w:r>
    </w:p>
    <w:p w14:paraId="2D6F381F" w14:textId="77777777" w:rsidR="007C42E3" w:rsidRPr="001F0DED" w:rsidRDefault="007C42E3" w:rsidP="007B2577">
      <w:pPr>
        <w:pStyle w:val="ListParagraph"/>
        <w:numPr>
          <w:ilvl w:val="0"/>
          <w:numId w:val="24"/>
        </w:numPr>
        <w:spacing w:after="240"/>
        <w:ind w:left="1440"/>
        <w:rPr>
          <w:rFonts w:ascii="Arial" w:hAnsi="Arial" w:cs="Arial"/>
          <w:sz w:val="22"/>
          <w:szCs w:val="20"/>
        </w:rPr>
      </w:pPr>
      <w:r w:rsidRPr="001F0DED">
        <w:rPr>
          <w:rFonts w:ascii="Arial" w:hAnsi="Arial" w:cs="Arial"/>
          <w:sz w:val="22"/>
          <w:szCs w:val="20"/>
        </w:rPr>
        <w:t>Schedule H, IRS Form 990</w:t>
      </w:r>
    </w:p>
    <w:p w14:paraId="1EC8D2E9" w14:textId="77777777" w:rsidR="007C42E3" w:rsidRPr="001F0DED" w:rsidRDefault="007C42E3" w:rsidP="007B2577">
      <w:pPr>
        <w:pStyle w:val="ListParagraph"/>
        <w:numPr>
          <w:ilvl w:val="0"/>
          <w:numId w:val="24"/>
        </w:numPr>
        <w:spacing w:after="240"/>
        <w:ind w:left="1440"/>
        <w:rPr>
          <w:rFonts w:ascii="Arial" w:hAnsi="Arial" w:cs="Arial"/>
          <w:sz w:val="22"/>
          <w:szCs w:val="20"/>
        </w:rPr>
      </w:pPr>
      <w:r w:rsidRPr="001F0DED">
        <w:rPr>
          <w:rFonts w:ascii="Arial" w:hAnsi="Arial" w:cs="Arial"/>
          <w:sz w:val="22"/>
          <w:szCs w:val="20"/>
        </w:rPr>
        <w:t>Grant reporting documents</w:t>
      </w:r>
    </w:p>
    <w:p w14:paraId="194FE4DD" w14:textId="77777777" w:rsidR="007C42E3" w:rsidRPr="001F0DED" w:rsidRDefault="007C42E3" w:rsidP="00012990">
      <w:pPr>
        <w:ind w:left="1080"/>
        <w:rPr>
          <w:rFonts w:ascii="Arial" w:hAnsi="Arial" w:cs="Arial"/>
          <w:i/>
          <w:sz w:val="22"/>
          <w:szCs w:val="20"/>
        </w:rPr>
      </w:pPr>
      <w:r w:rsidRPr="001F0DED">
        <w:rPr>
          <w:rFonts w:ascii="Arial" w:hAnsi="Arial" w:cs="Arial"/>
          <w:i/>
          <w:sz w:val="22"/>
          <w:szCs w:val="20"/>
        </w:rPr>
        <w:t>Examples</w:t>
      </w:r>
    </w:p>
    <w:p w14:paraId="290BB490" w14:textId="77777777" w:rsidR="007C42E3" w:rsidRPr="001F0DED" w:rsidRDefault="007C42E3" w:rsidP="007B2577">
      <w:pPr>
        <w:pStyle w:val="ListParagraph"/>
        <w:numPr>
          <w:ilvl w:val="0"/>
          <w:numId w:val="25"/>
        </w:numPr>
        <w:spacing w:after="240"/>
        <w:ind w:left="1800"/>
        <w:rPr>
          <w:rFonts w:ascii="Arial" w:hAnsi="Arial" w:cs="Arial"/>
          <w:i/>
          <w:sz w:val="22"/>
          <w:szCs w:val="20"/>
        </w:rPr>
      </w:pPr>
      <w:r w:rsidRPr="001F0DED">
        <w:rPr>
          <w:rFonts w:ascii="Arial" w:hAnsi="Arial" w:cs="Arial"/>
          <w:i/>
          <w:sz w:val="22"/>
          <w:szCs w:val="20"/>
        </w:rPr>
        <w:t>Cost of treating uninsured patients (may be referred to as indigent or charity care)</w:t>
      </w:r>
    </w:p>
    <w:p w14:paraId="411AB1F8" w14:textId="77777777" w:rsidR="007C42E3" w:rsidRPr="001F0DED" w:rsidRDefault="007C42E3" w:rsidP="007B2577">
      <w:pPr>
        <w:pStyle w:val="ListParagraph"/>
        <w:numPr>
          <w:ilvl w:val="0"/>
          <w:numId w:val="25"/>
        </w:numPr>
        <w:spacing w:after="240"/>
        <w:ind w:left="1800"/>
        <w:rPr>
          <w:rFonts w:ascii="Arial" w:hAnsi="Arial" w:cs="Arial"/>
          <w:i/>
          <w:sz w:val="22"/>
          <w:szCs w:val="20"/>
        </w:rPr>
      </w:pPr>
      <w:r w:rsidRPr="001F0DED">
        <w:rPr>
          <w:rFonts w:ascii="Arial" w:hAnsi="Arial" w:cs="Arial"/>
          <w:i/>
          <w:sz w:val="22"/>
          <w:szCs w:val="20"/>
        </w:rPr>
        <w:t>Unreimbursed cost of treating Medicaid patients</w:t>
      </w:r>
    </w:p>
    <w:p w14:paraId="382A5B63" w14:textId="77777777" w:rsidR="007C42E3" w:rsidRPr="001F0DED" w:rsidRDefault="007C42E3" w:rsidP="007B2577">
      <w:pPr>
        <w:pStyle w:val="ListParagraph"/>
        <w:numPr>
          <w:ilvl w:val="0"/>
          <w:numId w:val="25"/>
        </w:numPr>
        <w:spacing w:after="240"/>
        <w:ind w:left="1800"/>
        <w:rPr>
          <w:rFonts w:ascii="Arial" w:hAnsi="Arial" w:cs="Arial"/>
          <w:i/>
          <w:sz w:val="22"/>
          <w:szCs w:val="20"/>
        </w:rPr>
      </w:pPr>
      <w:r w:rsidRPr="001F0DED">
        <w:rPr>
          <w:rFonts w:ascii="Arial" w:hAnsi="Arial" w:cs="Arial"/>
          <w:i/>
          <w:sz w:val="22"/>
          <w:szCs w:val="20"/>
        </w:rPr>
        <w:t>Bad debt</w:t>
      </w:r>
    </w:p>
    <w:p w14:paraId="4C00B07E" w14:textId="77777777" w:rsidR="007C42E3" w:rsidRPr="001F0DED" w:rsidRDefault="007C42E3" w:rsidP="007B2577">
      <w:pPr>
        <w:pStyle w:val="ListParagraph"/>
        <w:numPr>
          <w:ilvl w:val="0"/>
          <w:numId w:val="25"/>
        </w:numPr>
        <w:spacing w:after="240"/>
        <w:ind w:left="1800"/>
        <w:rPr>
          <w:rFonts w:ascii="Arial" w:hAnsi="Arial" w:cs="Arial"/>
          <w:i/>
          <w:sz w:val="22"/>
          <w:szCs w:val="20"/>
        </w:rPr>
      </w:pPr>
      <w:r w:rsidRPr="001F0DED">
        <w:rPr>
          <w:rFonts w:ascii="Arial" w:hAnsi="Arial" w:cs="Arial"/>
          <w:i/>
          <w:sz w:val="22"/>
          <w:szCs w:val="20"/>
        </w:rPr>
        <w:t>Community health improvement services</w:t>
      </w:r>
    </w:p>
    <w:p w14:paraId="517FAF35" w14:textId="77777777" w:rsidR="007C42E3" w:rsidRPr="001F0DED" w:rsidRDefault="007C42E3" w:rsidP="007B2577">
      <w:pPr>
        <w:pStyle w:val="ListParagraph"/>
        <w:numPr>
          <w:ilvl w:val="0"/>
          <w:numId w:val="25"/>
        </w:numPr>
        <w:spacing w:after="240"/>
        <w:ind w:left="1800"/>
        <w:rPr>
          <w:rFonts w:ascii="Arial" w:hAnsi="Arial" w:cs="Arial"/>
          <w:i/>
          <w:sz w:val="22"/>
          <w:szCs w:val="20"/>
        </w:rPr>
      </w:pPr>
      <w:r w:rsidRPr="001F0DED">
        <w:rPr>
          <w:rFonts w:ascii="Arial" w:hAnsi="Arial" w:cs="Arial"/>
          <w:i/>
          <w:sz w:val="22"/>
          <w:szCs w:val="20"/>
        </w:rPr>
        <w:lastRenderedPageBreak/>
        <w:t>Subsidized health services</w:t>
      </w:r>
    </w:p>
    <w:p w14:paraId="2A717180" w14:textId="77777777" w:rsidR="007C42E3" w:rsidRPr="001F0DED" w:rsidRDefault="007C42E3" w:rsidP="007B2577">
      <w:pPr>
        <w:pStyle w:val="ListParagraph"/>
        <w:numPr>
          <w:ilvl w:val="0"/>
          <w:numId w:val="25"/>
        </w:numPr>
        <w:spacing w:after="240"/>
        <w:ind w:left="1800"/>
        <w:rPr>
          <w:rFonts w:ascii="Arial" w:hAnsi="Arial" w:cs="Arial"/>
          <w:i/>
          <w:sz w:val="22"/>
          <w:szCs w:val="20"/>
        </w:rPr>
      </w:pPr>
      <w:r w:rsidRPr="001F0DED">
        <w:rPr>
          <w:rFonts w:ascii="Arial" w:hAnsi="Arial" w:cs="Arial"/>
          <w:i/>
          <w:sz w:val="22"/>
          <w:szCs w:val="20"/>
        </w:rPr>
        <w:t>Unreimbursed cost of treating Medicare patients</w:t>
      </w:r>
    </w:p>
    <w:p w14:paraId="5D1C0EE5" w14:textId="77777777" w:rsidR="00B37BDE" w:rsidRPr="001F0DED" w:rsidRDefault="007C42E3" w:rsidP="007B2577">
      <w:pPr>
        <w:pStyle w:val="ListParagraph"/>
        <w:numPr>
          <w:ilvl w:val="0"/>
          <w:numId w:val="25"/>
        </w:numPr>
        <w:spacing w:after="240"/>
        <w:ind w:left="1800"/>
        <w:rPr>
          <w:rFonts w:ascii="Arial" w:hAnsi="Arial" w:cs="Arial"/>
          <w:i/>
          <w:sz w:val="22"/>
          <w:szCs w:val="20"/>
        </w:rPr>
      </w:pPr>
      <w:r w:rsidRPr="001F0DED">
        <w:rPr>
          <w:rFonts w:ascii="Arial" w:hAnsi="Arial" w:cs="Arial"/>
          <w:i/>
          <w:sz w:val="22"/>
          <w:szCs w:val="20"/>
        </w:rPr>
        <w:t>Unreimbursed cost of treating other government plan patients</w:t>
      </w:r>
    </w:p>
    <w:p w14:paraId="49749CC3" w14:textId="77777777" w:rsidR="007B2577" w:rsidRPr="001F0DED" w:rsidRDefault="007B2577" w:rsidP="00012990">
      <w:pPr>
        <w:ind w:left="720"/>
        <w:rPr>
          <w:rFonts w:ascii="Arial" w:hAnsi="Arial" w:cs="Arial"/>
          <w:b/>
          <w:sz w:val="22"/>
          <w:szCs w:val="20"/>
        </w:rPr>
      </w:pPr>
      <w:r w:rsidRPr="001F0DED">
        <w:rPr>
          <w:rFonts w:ascii="Arial" w:hAnsi="Arial" w:cs="Arial"/>
          <w:b/>
          <w:sz w:val="22"/>
          <w:szCs w:val="20"/>
        </w:rPr>
        <w:t>Non-Reported Community Benefit</w:t>
      </w:r>
    </w:p>
    <w:p w14:paraId="19AEC773" w14:textId="5ABCB4BB" w:rsidR="007B2577" w:rsidRPr="001F0DED" w:rsidRDefault="007B2577" w:rsidP="007B2577">
      <w:pPr>
        <w:spacing w:after="240"/>
        <w:ind w:left="720"/>
        <w:rPr>
          <w:rFonts w:ascii="Arial" w:hAnsi="Arial" w:cs="Arial"/>
          <w:sz w:val="22"/>
          <w:szCs w:val="20"/>
        </w:rPr>
      </w:pPr>
      <w:r w:rsidRPr="001F0DED">
        <w:rPr>
          <w:rFonts w:ascii="Arial" w:hAnsi="Arial" w:cs="Arial"/>
          <w:sz w:val="22"/>
          <w:szCs w:val="20"/>
        </w:rPr>
        <w:t>Many nonprofit health</w:t>
      </w:r>
      <w:r w:rsidR="002D5BF0" w:rsidRPr="001F0DED">
        <w:rPr>
          <w:rFonts w:ascii="Arial" w:hAnsi="Arial" w:cs="Arial"/>
          <w:sz w:val="22"/>
          <w:szCs w:val="20"/>
        </w:rPr>
        <w:t xml:space="preserve"> </w:t>
      </w:r>
      <w:r w:rsidRPr="001F0DED">
        <w:rPr>
          <w:rFonts w:ascii="Arial" w:hAnsi="Arial" w:cs="Arial"/>
          <w:sz w:val="22"/>
          <w:szCs w:val="20"/>
        </w:rPr>
        <w:t>care organizations also provide unreported care to underserved populations, which can be highlighted in Table 2. Entities that provide these services to both insured and uninsured populations may need to further break down the service costs based on program intent.</w:t>
      </w:r>
    </w:p>
    <w:p w14:paraId="61263BC0" w14:textId="77777777" w:rsidR="007B2577" w:rsidRPr="001F0DED" w:rsidRDefault="007B2577" w:rsidP="00012990">
      <w:pPr>
        <w:ind w:left="1080"/>
        <w:rPr>
          <w:rFonts w:ascii="Arial" w:hAnsi="Arial" w:cs="Arial"/>
          <w:i/>
          <w:sz w:val="22"/>
          <w:szCs w:val="20"/>
        </w:rPr>
      </w:pPr>
      <w:r w:rsidRPr="001F0DED">
        <w:rPr>
          <w:rFonts w:ascii="Arial" w:hAnsi="Arial" w:cs="Arial"/>
          <w:i/>
          <w:sz w:val="22"/>
          <w:szCs w:val="20"/>
        </w:rPr>
        <w:t>Examples</w:t>
      </w:r>
    </w:p>
    <w:p w14:paraId="12CF1EB4" w14:textId="77777777" w:rsidR="007B2577" w:rsidRPr="001F0DED" w:rsidRDefault="007B2577" w:rsidP="007B2577">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 xml:space="preserve">Other uncompensated care </w:t>
      </w:r>
    </w:p>
    <w:p w14:paraId="2ED98CB9" w14:textId="77777777" w:rsidR="007B2577" w:rsidRPr="001F0DED" w:rsidRDefault="007B2577" w:rsidP="007B2577">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Free vaccinations</w:t>
      </w:r>
    </w:p>
    <w:p w14:paraId="6AF86AEC" w14:textId="77777777" w:rsidR="007B2577" w:rsidRPr="001F0DED" w:rsidRDefault="007B2577" w:rsidP="007B2577">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Free medication delivery to rural areas</w:t>
      </w:r>
    </w:p>
    <w:p w14:paraId="572AD825" w14:textId="7AC604F7" w:rsidR="007B2577" w:rsidRPr="001F0DED" w:rsidRDefault="007B2577" w:rsidP="007B2577">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 xml:space="preserve">Free pharmacy </w:t>
      </w:r>
      <w:r w:rsidR="002D5BF0" w:rsidRPr="001F0DED">
        <w:rPr>
          <w:rFonts w:ascii="Arial" w:hAnsi="Arial" w:cs="Arial"/>
          <w:i/>
          <w:sz w:val="22"/>
          <w:szCs w:val="20"/>
        </w:rPr>
        <w:t xml:space="preserve">medication therapy management </w:t>
      </w:r>
      <w:r w:rsidRPr="001F0DED">
        <w:rPr>
          <w:rFonts w:ascii="Arial" w:hAnsi="Arial" w:cs="Arial"/>
          <w:i/>
          <w:sz w:val="22"/>
          <w:szCs w:val="20"/>
        </w:rPr>
        <w:t xml:space="preserve">(MTM) services </w:t>
      </w:r>
    </w:p>
    <w:p w14:paraId="21B2D963" w14:textId="77777777" w:rsidR="007B2577" w:rsidRPr="001F0DED" w:rsidRDefault="007B2577" w:rsidP="007B2577">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 xml:space="preserve">FTE helping connect patients to manufacturer drug programs </w:t>
      </w:r>
    </w:p>
    <w:p w14:paraId="654A6B8D" w14:textId="77777777" w:rsidR="007B2577" w:rsidRPr="001F0DED" w:rsidRDefault="007B2577" w:rsidP="007B2577">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FTE to increase outreach and enrollment of underserved patients to care or services</w:t>
      </w:r>
    </w:p>
    <w:p w14:paraId="730CF016" w14:textId="19B97397" w:rsidR="007B2577" w:rsidRPr="001F0DED" w:rsidRDefault="007B2577" w:rsidP="007B2577">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 xml:space="preserve">Transition-of-care teams </w:t>
      </w:r>
    </w:p>
    <w:p w14:paraId="34DF5CE7" w14:textId="514568A5" w:rsidR="001F0DED" w:rsidRDefault="007B2577" w:rsidP="001F0DED">
      <w:pPr>
        <w:pStyle w:val="ListParagraph"/>
        <w:numPr>
          <w:ilvl w:val="0"/>
          <w:numId w:val="26"/>
        </w:numPr>
        <w:spacing w:after="240"/>
        <w:ind w:left="1800"/>
        <w:rPr>
          <w:rFonts w:ascii="Arial" w:hAnsi="Arial" w:cs="Arial"/>
          <w:i/>
          <w:sz w:val="22"/>
          <w:szCs w:val="20"/>
        </w:rPr>
      </w:pPr>
      <w:r w:rsidRPr="001F0DED">
        <w:rPr>
          <w:rFonts w:ascii="Arial" w:hAnsi="Arial" w:cs="Arial"/>
          <w:i/>
          <w:sz w:val="22"/>
          <w:szCs w:val="20"/>
        </w:rPr>
        <w:t xml:space="preserve">Capital building projects focused on </w:t>
      </w:r>
      <w:r w:rsidR="002D5BF0" w:rsidRPr="001F0DED">
        <w:rPr>
          <w:rFonts w:ascii="Arial" w:hAnsi="Arial" w:cs="Arial"/>
          <w:i/>
          <w:sz w:val="22"/>
          <w:szCs w:val="20"/>
        </w:rPr>
        <w:t>low-</w:t>
      </w:r>
      <w:r w:rsidRPr="001F0DED">
        <w:rPr>
          <w:rFonts w:ascii="Arial" w:hAnsi="Arial" w:cs="Arial"/>
          <w:i/>
          <w:sz w:val="22"/>
          <w:szCs w:val="20"/>
        </w:rPr>
        <w:t>income populations</w:t>
      </w:r>
    </w:p>
    <w:p w14:paraId="6ECC6645" w14:textId="77777777" w:rsidR="001F0DED" w:rsidRDefault="001F0DED">
      <w:pPr>
        <w:spacing w:after="200" w:line="276" w:lineRule="auto"/>
        <w:rPr>
          <w:rFonts w:ascii="Arial" w:hAnsi="Arial" w:cs="Arial"/>
          <w:i/>
          <w:sz w:val="22"/>
          <w:szCs w:val="20"/>
        </w:rPr>
      </w:pPr>
      <w:r>
        <w:rPr>
          <w:rFonts w:ascii="Arial" w:hAnsi="Arial" w:cs="Arial"/>
          <w:i/>
          <w:sz w:val="22"/>
          <w:szCs w:val="20"/>
        </w:rPr>
        <w:br w:type="page"/>
      </w:r>
    </w:p>
    <w:tbl>
      <w:tblPr>
        <w:tblStyle w:val="LightGrid-Accent11"/>
        <w:tblpPr w:leftFromText="180" w:rightFromText="180" w:vertAnchor="text" w:horzAnchor="margin" w:tblpY="153"/>
        <w:tblW w:w="0" w:type="auto"/>
        <w:tblLook w:val="04A0" w:firstRow="1" w:lastRow="0" w:firstColumn="1" w:lastColumn="0" w:noHBand="0" w:noVBand="1"/>
      </w:tblPr>
      <w:tblGrid>
        <w:gridCol w:w="3140"/>
        <w:gridCol w:w="2970"/>
        <w:gridCol w:w="4670"/>
      </w:tblGrid>
      <w:tr w:rsidR="006F1356" w:rsidRPr="00012990" w14:paraId="612F288C" w14:textId="77777777" w:rsidTr="001F0DED">
        <w:trPr>
          <w:cnfStyle w:val="100000000000" w:firstRow="1" w:lastRow="0" w:firstColumn="0" w:lastColumn="0" w:oddVBand="0" w:evenVBand="0" w:oddHBand="0"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10780" w:type="dxa"/>
            <w:gridSpan w:val="3"/>
            <w:shd w:val="clear" w:color="auto" w:fill="002060"/>
            <w:vAlign w:val="center"/>
          </w:tcPr>
          <w:p w14:paraId="5D780A47" w14:textId="70617604" w:rsidR="006F1356" w:rsidRPr="00012990" w:rsidRDefault="00012990" w:rsidP="00DF5B07">
            <w:pPr>
              <w:spacing w:before="60" w:after="60"/>
              <w:jc w:val="center"/>
              <w:rPr>
                <w:rFonts w:ascii="Arial" w:hAnsi="Arial" w:cs="Arial"/>
                <w:b w:val="0"/>
                <w:bCs w:val="0"/>
                <w:color w:val="000000"/>
                <w:sz w:val="20"/>
                <w:szCs w:val="20"/>
              </w:rPr>
            </w:pPr>
            <w:r>
              <w:rPr>
                <w:rFonts w:ascii="Arial" w:hAnsi="Arial" w:cs="Arial"/>
                <w:color w:val="FFFFFF" w:themeColor="background1"/>
                <w:sz w:val="20"/>
                <w:szCs w:val="20"/>
              </w:rPr>
              <w:lastRenderedPageBreak/>
              <w:t>TABLE</w:t>
            </w:r>
            <w:r w:rsidR="007B2577" w:rsidRPr="00012990">
              <w:rPr>
                <w:rFonts w:ascii="Arial" w:hAnsi="Arial" w:cs="Arial"/>
                <w:color w:val="FFFFFF" w:themeColor="background1"/>
                <w:sz w:val="20"/>
                <w:szCs w:val="20"/>
              </w:rPr>
              <w:t xml:space="preserve"> 2: </w:t>
            </w:r>
            <w:r>
              <w:rPr>
                <w:rFonts w:ascii="Arial" w:hAnsi="Arial" w:cs="Arial"/>
                <w:color w:val="FFFFFF" w:themeColor="background1"/>
                <w:sz w:val="20"/>
                <w:szCs w:val="20"/>
              </w:rPr>
              <w:t>USE OF 340B SAVINGS</w:t>
            </w:r>
          </w:p>
        </w:tc>
      </w:tr>
      <w:tr w:rsidR="007C42E3" w:rsidRPr="00012990" w14:paraId="75CF2097" w14:textId="77777777" w:rsidTr="00012990">
        <w:trPr>
          <w:cnfStyle w:val="000000100000" w:firstRow="0" w:lastRow="0" w:firstColumn="0" w:lastColumn="0" w:oddVBand="0" w:evenVBand="0" w:oddHBand="1" w:evenHBand="0" w:firstRowFirstColumn="0" w:firstRowLastColumn="0" w:lastRowFirstColumn="0" w:lastRowLastColumn="0"/>
          <w:trHeight w:hRule="exact" w:val="654"/>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vAlign w:val="center"/>
          </w:tcPr>
          <w:p w14:paraId="18744767" w14:textId="77777777" w:rsidR="007C42E3" w:rsidRPr="00012990" w:rsidRDefault="009734DA" w:rsidP="009734DA">
            <w:pPr>
              <w:jc w:val="center"/>
              <w:rPr>
                <w:rFonts w:ascii="Arial" w:hAnsi="Arial" w:cs="Arial"/>
                <w:sz w:val="18"/>
                <w:szCs w:val="18"/>
              </w:rPr>
            </w:pPr>
            <w:r w:rsidRPr="00012990">
              <w:rPr>
                <w:rFonts w:ascii="Arial" w:hAnsi="Arial" w:cs="Arial"/>
                <w:sz w:val="18"/>
                <w:szCs w:val="18"/>
              </w:rPr>
              <w:t>Program or Service Provided</w:t>
            </w:r>
          </w:p>
        </w:tc>
        <w:tc>
          <w:tcPr>
            <w:tcW w:w="2970" w:type="dxa"/>
            <w:shd w:val="clear" w:color="auto" w:fill="DBE5F1" w:themeFill="accent1" w:themeFillTint="33"/>
            <w:vAlign w:val="center"/>
          </w:tcPr>
          <w:p w14:paraId="3FE3F696" w14:textId="77777777" w:rsidR="007C42E3" w:rsidRPr="00012990" w:rsidRDefault="009734DA" w:rsidP="009734D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012990">
              <w:rPr>
                <w:rFonts w:ascii="Arial" w:hAnsi="Arial" w:cs="Arial"/>
                <w:b/>
                <w:sz w:val="18"/>
                <w:szCs w:val="18"/>
              </w:rPr>
              <w:t>Total Expense</w:t>
            </w:r>
          </w:p>
        </w:tc>
        <w:tc>
          <w:tcPr>
            <w:tcW w:w="4670" w:type="dxa"/>
            <w:shd w:val="clear" w:color="auto" w:fill="DBE5F1" w:themeFill="accent1" w:themeFillTint="33"/>
            <w:vAlign w:val="center"/>
          </w:tcPr>
          <w:p w14:paraId="2777ACDD" w14:textId="77777777" w:rsidR="009734DA" w:rsidRPr="00012990" w:rsidRDefault="009734DA" w:rsidP="00DF5B07">
            <w:pPr>
              <w:spacing w:before="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012990">
              <w:rPr>
                <w:rFonts w:ascii="Arial" w:hAnsi="Arial" w:cs="Arial"/>
                <w:b/>
                <w:sz w:val="18"/>
                <w:szCs w:val="18"/>
              </w:rPr>
              <w:t>Description</w:t>
            </w:r>
          </w:p>
          <w:p w14:paraId="352F61FE" w14:textId="77777777" w:rsidR="007C42E3" w:rsidRPr="00012990" w:rsidRDefault="009734DA" w:rsidP="00DF5B07">
            <w:pPr>
              <w:spacing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012990">
              <w:rPr>
                <w:rFonts w:ascii="Arial" w:hAnsi="Arial" w:cs="Arial"/>
                <w:sz w:val="18"/>
                <w:szCs w:val="18"/>
              </w:rPr>
              <w:t>(how this aligns with 340B Program intent)</w:t>
            </w:r>
          </w:p>
        </w:tc>
      </w:tr>
      <w:tr w:rsidR="007C42E3" w:rsidRPr="00012990" w14:paraId="58DC1E24" w14:textId="77777777" w:rsidTr="009734DA">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7EED2128" w14:textId="77777777" w:rsidR="007C42E3" w:rsidRPr="00012990" w:rsidRDefault="007C42E3" w:rsidP="009734DA">
            <w:pPr>
              <w:spacing w:before="60" w:after="60"/>
              <w:rPr>
                <w:rFonts w:ascii="Arial" w:hAnsi="Arial" w:cs="Arial"/>
                <w:color w:val="000000" w:themeColor="text1"/>
                <w:sz w:val="18"/>
                <w:szCs w:val="18"/>
              </w:rPr>
            </w:pPr>
          </w:p>
        </w:tc>
        <w:tc>
          <w:tcPr>
            <w:tcW w:w="2970" w:type="dxa"/>
            <w:shd w:val="clear" w:color="auto" w:fill="auto"/>
            <w:vAlign w:val="center"/>
          </w:tcPr>
          <w:p w14:paraId="6A1E0A44" w14:textId="77777777" w:rsidR="007C42E3" w:rsidRPr="00012990" w:rsidRDefault="007C42E3"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u w:val="single"/>
              </w:rPr>
            </w:pPr>
          </w:p>
        </w:tc>
        <w:tc>
          <w:tcPr>
            <w:tcW w:w="4670" w:type="dxa"/>
            <w:shd w:val="clear" w:color="auto" w:fill="auto"/>
            <w:vAlign w:val="center"/>
          </w:tcPr>
          <w:p w14:paraId="1D7CD3F5" w14:textId="77777777" w:rsidR="007C42E3" w:rsidRPr="00012990" w:rsidRDefault="007C42E3"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7C42E3" w:rsidRPr="00012990" w14:paraId="0C153E7B"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0F7D3781" w14:textId="77777777" w:rsidR="007C42E3" w:rsidRPr="00012990" w:rsidRDefault="007C42E3" w:rsidP="009734DA">
            <w:pPr>
              <w:spacing w:before="60" w:after="60"/>
              <w:rPr>
                <w:rFonts w:ascii="Arial" w:hAnsi="Arial" w:cs="Arial"/>
                <w:color w:val="000000" w:themeColor="text1"/>
                <w:sz w:val="18"/>
                <w:szCs w:val="18"/>
              </w:rPr>
            </w:pPr>
          </w:p>
        </w:tc>
        <w:tc>
          <w:tcPr>
            <w:tcW w:w="2970" w:type="dxa"/>
            <w:shd w:val="clear" w:color="auto" w:fill="auto"/>
            <w:vAlign w:val="center"/>
          </w:tcPr>
          <w:p w14:paraId="51C6FCF8" w14:textId="77777777" w:rsidR="007C42E3" w:rsidRPr="00012990" w:rsidRDefault="007C42E3"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59E39D45" w14:textId="77777777" w:rsidR="007C42E3" w:rsidRPr="00012990" w:rsidRDefault="007C42E3"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734DA" w:rsidRPr="00012990" w14:paraId="0D483E9E"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260AA311" w14:textId="77777777" w:rsidR="009734DA" w:rsidRPr="00012990" w:rsidRDefault="009734DA"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011E875D" w14:textId="77777777" w:rsidR="009734DA" w:rsidRPr="00012990" w:rsidRDefault="009734DA"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0B3BB981" w14:textId="77777777" w:rsidR="009734DA" w:rsidRPr="00012990" w:rsidRDefault="009734DA" w:rsidP="0001299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9734DA" w:rsidRPr="00012990" w14:paraId="324CC829"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2796ED95" w14:textId="77777777" w:rsidR="009734DA" w:rsidRPr="00012990" w:rsidRDefault="009734DA"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64253578" w14:textId="77777777" w:rsidR="009734DA" w:rsidRPr="00012990" w:rsidRDefault="009734DA"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028137F8" w14:textId="77777777" w:rsidR="009734DA" w:rsidRPr="00012990" w:rsidRDefault="009734DA"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734DA" w:rsidRPr="00012990" w14:paraId="3A4C9A84"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46A7A709" w14:textId="77777777" w:rsidR="009734DA" w:rsidRPr="00012990" w:rsidRDefault="009734DA"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28BFE275" w14:textId="77777777" w:rsidR="009734DA" w:rsidRPr="00012990" w:rsidRDefault="009734DA"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645F6257" w14:textId="77777777" w:rsidR="009734DA" w:rsidRPr="00012990" w:rsidRDefault="009734DA"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9734DA" w:rsidRPr="00012990" w14:paraId="224601F1"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27D09DE9" w14:textId="77777777" w:rsidR="009734DA" w:rsidRPr="00012990" w:rsidRDefault="009734DA"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0946B2F6" w14:textId="77777777" w:rsidR="009734DA" w:rsidRPr="00012990" w:rsidRDefault="009734DA"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784C4D7F" w14:textId="77777777" w:rsidR="009734DA" w:rsidRPr="00012990" w:rsidRDefault="009734DA"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734DA" w:rsidRPr="00012990" w14:paraId="7CBE329E"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72C53751" w14:textId="77777777" w:rsidR="009734DA" w:rsidRPr="00012990" w:rsidRDefault="009734DA"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12E8042E" w14:textId="77777777" w:rsidR="009734DA" w:rsidRPr="00012990" w:rsidRDefault="009734DA"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69F525F6" w14:textId="77777777" w:rsidR="009734DA" w:rsidRPr="00012990" w:rsidRDefault="009734DA"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A06DAC" w:rsidRPr="00012990" w14:paraId="77167637"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39B473EE"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5AD04694" w14:textId="77777777" w:rsidR="00A06DAC" w:rsidRPr="00012990" w:rsidRDefault="00A06DAC"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033082CC" w14:textId="77777777" w:rsidR="00A06DAC" w:rsidRPr="00012990" w:rsidRDefault="00A06DAC"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06DAC" w:rsidRPr="00012990" w14:paraId="36AFA578"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33C21F55"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3938DA51" w14:textId="77777777" w:rsidR="00A06DAC" w:rsidRPr="00012990" w:rsidRDefault="00A06DAC"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551C387B" w14:textId="77777777" w:rsidR="00A06DAC" w:rsidRPr="00012990" w:rsidRDefault="00A06DAC"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A06DAC" w:rsidRPr="00012990" w14:paraId="0883CC74"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0B6BBDD2"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3F5DD0DE" w14:textId="77777777" w:rsidR="00A06DAC" w:rsidRPr="00012990" w:rsidRDefault="00A06DAC"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0D22BB9A" w14:textId="77777777" w:rsidR="00A06DAC" w:rsidRPr="00012990" w:rsidRDefault="00A06DAC"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06DAC" w:rsidRPr="00012990" w14:paraId="5279075B"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434738E2"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1E5E1F87" w14:textId="77777777" w:rsidR="00A06DAC" w:rsidRPr="00012990" w:rsidRDefault="00A06DAC"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1BEC4753" w14:textId="77777777" w:rsidR="00A06DAC" w:rsidRPr="00012990" w:rsidRDefault="00A06DAC"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A06DAC" w:rsidRPr="00012990" w14:paraId="650786E8"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081BFD7C"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34D84634" w14:textId="77777777" w:rsidR="00A06DAC" w:rsidRPr="00012990" w:rsidRDefault="00A06DAC"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680A0FA8" w14:textId="77777777" w:rsidR="00A06DAC" w:rsidRPr="00012990" w:rsidRDefault="00A06DAC"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06DAC" w:rsidRPr="00012990" w14:paraId="019401C9"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6AFC7FF7"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73C6213C" w14:textId="77777777" w:rsidR="00A06DAC" w:rsidRPr="00012990" w:rsidRDefault="00A06DAC"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12F5FA67" w14:textId="77777777" w:rsidR="00A06DAC" w:rsidRPr="00012990" w:rsidRDefault="00A06DAC"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A06DAC" w:rsidRPr="00012990" w14:paraId="6E915045"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2615309F"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15F70ADF" w14:textId="77777777" w:rsidR="00A06DAC" w:rsidRPr="00012990" w:rsidRDefault="00A06DAC"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4168DA73" w14:textId="77777777" w:rsidR="00A06DAC" w:rsidRPr="00012990" w:rsidRDefault="00A06DAC"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06DAC" w:rsidRPr="00012990" w14:paraId="2AB7ABE9"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57C14B2B"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2D6DA43D" w14:textId="77777777" w:rsidR="00A06DAC" w:rsidRPr="00012990" w:rsidRDefault="00A06DAC"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6242760D" w14:textId="77777777" w:rsidR="00A06DAC" w:rsidRPr="00012990" w:rsidRDefault="00A06DAC"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A06DAC" w:rsidRPr="00012990" w14:paraId="7735A2E6"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634AE5A8"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4B5939F8" w14:textId="77777777" w:rsidR="00A06DAC" w:rsidRPr="00012990" w:rsidRDefault="00A06DAC"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3911B410" w14:textId="77777777" w:rsidR="00A06DAC" w:rsidRPr="00012990" w:rsidRDefault="00A06DAC"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06DAC" w:rsidRPr="00012990" w14:paraId="360EB159"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5FB750A2"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169D3317" w14:textId="77777777" w:rsidR="00A06DAC" w:rsidRPr="00012990" w:rsidRDefault="00A06DAC"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27BDC3D6" w14:textId="77777777" w:rsidR="00A06DAC" w:rsidRPr="00012990" w:rsidRDefault="00A06DAC"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A06DAC" w:rsidRPr="00012990" w14:paraId="534C7E58"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6CB67D8B"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2FFB3203" w14:textId="77777777" w:rsidR="00A06DAC" w:rsidRPr="00012990" w:rsidRDefault="00A06DAC"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52BA61F3" w14:textId="77777777" w:rsidR="00A06DAC" w:rsidRPr="00012990" w:rsidRDefault="00A06DAC"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06DAC" w:rsidRPr="00012990" w14:paraId="773DA989"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3897D25B"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336DC57A" w14:textId="77777777" w:rsidR="00A06DAC" w:rsidRPr="00012990" w:rsidRDefault="00A06DAC"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153D99B0" w14:textId="77777777" w:rsidR="00A06DAC" w:rsidRPr="00012990" w:rsidRDefault="00A06DAC"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A06DAC" w:rsidRPr="00012990" w14:paraId="322CC8D5" w14:textId="77777777" w:rsidTr="009734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6CCF5B2E"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69E9D8F0" w14:textId="77777777" w:rsidR="00A06DAC" w:rsidRPr="00012990" w:rsidRDefault="00A06DAC" w:rsidP="009734D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4B345850" w14:textId="77777777" w:rsidR="00A06DAC" w:rsidRPr="00012990" w:rsidRDefault="00A06DAC"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06DAC" w:rsidRPr="00012990" w14:paraId="7DA40565" w14:textId="77777777" w:rsidTr="009734DA">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7B217010" w14:textId="77777777" w:rsidR="00A06DAC" w:rsidRPr="00012990" w:rsidRDefault="00A06DAC" w:rsidP="009734DA">
            <w:pPr>
              <w:spacing w:before="60" w:after="60"/>
              <w:rPr>
                <w:rFonts w:ascii="Arial" w:hAnsi="Arial" w:cs="Arial"/>
                <w:b w:val="0"/>
                <w:bCs w:val="0"/>
                <w:color w:val="000000" w:themeColor="text1"/>
                <w:sz w:val="18"/>
                <w:szCs w:val="18"/>
              </w:rPr>
            </w:pPr>
          </w:p>
        </w:tc>
        <w:tc>
          <w:tcPr>
            <w:tcW w:w="2970" w:type="dxa"/>
            <w:shd w:val="clear" w:color="auto" w:fill="auto"/>
            <w:vAlign w:val="center"/>
          </w:tcPr>
          <w:p w14:paraId="4CD50A1A" w14:textId="77777777" w:rsidR="00A06DAC" w:rsidRPr="00012990" w:rsidRDefault="00A06DAC" w:rsidP="009734DA">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18"/>
                <w:szCs w:val="18"/>
              </w:rPr>
            </w:pPr>
          </w:p>
        </w:tc>
        <w:tc>
          <w:tcPr>
            <w:tcW w:w="4670" w:type="dxa"/>
            <w:shd w:val="clear" w:color="auto" w:fill="auto"/>
            <w:vAlign w:val="center"/>
          </w:tcPr>
          <w:p w14:paraId="23F15DB1" w14:textId="77777777" w:rsidR="00A06DAC" w:rsidRPr="00012990" w:rsidRDefault="00A06DAC" w:rsidP="00B37BDE">
            <w:pPr>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9734DA" w:rsidRPr="00012990" w14:paraId="1A7BCF27" w14:textId="77777777" w:rsidTr="0001299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tcPr>
          <w:p w14:paraId="27A8D8F4" w14:textId="205F0CBE" w:rsidR="009734DA" w:rsidRPr="00012990" w:rsidRDefault="00012990" w:rsidP="00E96102">
            <w:pPr>
              <w:spacing w:before="60" w:after="60"/>
              <w:rPr>
                <w:rFonts w:ascii="Arial" w:hAnsi="Arial" w:cs="Arial"/>
                <w:b w:val="0"/>
                <w:bCs w:val="0"/>
                <w:i/>
                <w:color w:val="000000" w:themeColor="text1"/>
                <w:sz w:val="18"/>
                <w:szCs w:val="18"/>
              </w:rPr>
            </w:pPr>
            <w:r w:rsidRPr="00012990">
              <w:rPr>
                <w:rFonts w:ascii="Arial" w:hAnsi="Arial" w:cs="Arial"/>
                <w:b w:val="0"/>
                <w:bCs w:val="0"/>
                <w:i/>
                <w:color w:val="000000" w:themeColor="text1"/>
                <w:sz w:val="18"/>
                <w:szCs w:val="18"/>
              </w:rPr>
              <w:t>Total expenses aligned with intent of 340B Program:</w:t>
            </w:r>
          </w:p>
        </w:tc>
        <w:tc>
          <w:tcPr>
            <w:tcW w:w="2970" w:type="dxa"/>
            <w:shd w:val="clear" w:color="auto" w:fill="DBE5F1" w:themeFill="accent1" w:themeFillTint="33"/>
            <w:vAlign w:val="center"/>
          </w:tcPr>
          <w:p w14:paraId="1397BE5E" w14:textId="1AB68CA3" w:rsidR="009734DA" w:rsidRPr="00012990" w:rsidRDefault="00012990" w:rsidP="00012990">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$________________</w:t>
            </w:r>
          </w:p>
        </w:tc>
        <w:tc>
          <w:tcPr>
            <w:tcW w:w="4670" w:type="dxa"/>
            <w:shd w:val="clear" w:color="auto" w:fill="DBE5F1" w:themeFill="accent1" w:themeFillTint="33"/>
            <w:vAlign w:val="center"/>
          </w:tcPr>
          <w:p w14:paraId="3F6ED8B1" w14:textId="77777777" w:rsidR="009734DA" w:rsidRPr="00012990" w:rsidRDefault="009734DA" w:rsidP="00B37BDE">
            <w:pPr>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14:paraId="2DD9BB0C" w14:textId="77777777" w:rsidR="0066389B" w:rsidRDefault="0066389B" w:rsidP="008F2B0B">
      <w:pPr>
        <w:jc w:val="both"/>
        <w:rPr>
          <w:i/>
          <w:iCs/>
          <w:color w:val="333333"/>
          <w:sz w:val="14"/>
          <w:szCs w:val="24"/>
        </w:rPr>
      </w:pPr>
    </w:p>
    <w:p w14:paraId="14E99534" w14:textId="77777777" w:rsidR="008A253B" w:rsidRDefault="008A253B" w:rsidP="008F2B0B">
      <w:pPr>
        <w:jc w:val="both"/>
        <w:rPr>
          <w:i/>
          <w:iCs/>
          <w:color w:val="333333"/>
          <w:sz w:val="14"/>
          <w:szCs w:val="24"/>
        </w:rPr>
      </w:pPr>
    </w:p>
    <w:p w14:paraId="139DDA3E" w14:textId="77777777" w:rsidR="00A06DAC" w:rsidRDefault="00A06DAC" w:rsidP="008F2B0B">
      <w:pPr>
        <w:jc w:val="both"/>
        <w:rPr>
          <w:i/>
          <w:iCs/>
          <w:color w:val="333333"/>
          <w:sz w:val="14"/>
          <w:szCs w:val="24"/>
        </w:rPr>
      </w:pPr>
    </w:p>
    <w:p w14:paraId="47054975" w14:textId="77777777" w:rsidR="00D61E90" w:rsidRDefault="00D61E90" w:rsidP="008F2B0B">
      <w:pPr>
        <w:jc w:val="both"/>
        <w:rPr>
          <w:i/>
          <w:iCs/>
          <w:color w:val="333333"/>
          <w:sz w:val="14"/>
          <w:szCs w:val="24"/>
        </w:rPr>
      </w:pPr>
    </w:p>
    <w:p w14:paraId="0E37287E" w14:textId="77777777" w:rsidR="00A06DAC" w:rsidRDefault="00A06DAC" w:rsidP="008F2B0B">
      <w:pPr>
        <w:jc w:val="both"/>
        <w:rPr>
          <w:i/>
          <w:iCs/>
          <w:color w:val="333333"/>
          <w:sz w:val="14"/>
          <w:szCs w:val="24"/>
        </w:rPr>
      </w:pPr>
    </w:p>
    <w:p w14:paraId="3B456968" w14:textId="77777777" w:rsidR="000F3FC7" w:rsidRDefault="000F3FC7" w:rsidP="001F636C">
      <w:pPr>
        <w:pStyle w:val="NormalWeb"/>
        <w:spacing w:before="0" w:beforeAutospacing="0" w:after="0" w:afterAutospacing="0"/>
        <w:rPr>
          <w:rFonts w:ascii="Arial Narrow" w:hAnsi="Arial Narrow"/>
          <w:i/>
          <w:color w:val="000000" w:themeColor="text1"/>
          <w:sz w:val="14"/>
        </w:rPr>
      </w:pPr>
    </w:p>
    <w:p w14:paraId="105AAE83" w14:textId="77777777" w:rsidR="00837431" w:rsidRDefault="00837431" w:rsidP="001F636C">
      <w:pPr>
        <w:pStyle w:val="NormalWeb"/>
        <w:spacing w:before="0" w:beforeAutospacing="0" w:after="0" w:afterAutospacing="0"/>
        <w:rPr>
          <w:rFonts w:ascii="Arial Narrow" w:hAnsi="Arial Narrow"/>
          <w:i/>
          <w:color w:val="000000" w:themeColor="text1"/>
          <w:sz w:val="14"/>
        </w:rPr>
      </w:pPr>
    </w:p>
    <w:p w14:paraId="01E58E11" w14:textId="77777777" w:rsidR="00837431" w:rsidRDefault="00837431" w:rsidP="001F636C">
      <w:pPr>
        <w:pStyle w:val="NormalWeb"/>
        <w:spacing w:before="0" w:beforeAutospacing="0" w:after="0" w:afterAutospacing="0"/>
        <w:rPr>
          <w:rFonts w:ascii="Arial Narrow" w:hAnsi="Arial Narrow"/>
          <w:i/>
          <w:color w:val="000000" w:themeColor="text1"/>
          <w:sz w:val="14"/>
        </w:rPr>
      </w:pPr>
    </w:p>
    <w:p w14:paraId="5E87D7AC" w14:textId="77777777" w:rsidR="00837431" w:rsidRDefault="00837431" w:rsidP="001F636C">
      <w:pPr>
        <w:pStyle w:val="NormalWeb"/>
        <w:spacing w:before="0" w:beforeAutospacing="0" w:after="0" w:afterAutospacing="0"/>
        <w:rPr>
          <w:rFonts w:ascii="Arial Narrow" w:hAnsi="Arial Narrow"/>
          <w:i/>
          <w:color w:val="000000" w:themeColor="text1"/>
          <w:sz w:val="14"/>
        </w:rPr>
      </w:pPr>
    </w:p>
    <w:p w14:paraId="1C69D5DA" w14:textId="77777777" w:rsidR="00837431" w:rsidRDefault="00837431" w:rsidP="001F636C">
      <w:pPr>
        <w:pStyle w:val="NormalWeb"/>
        <w:spacing w:before="0" w:beforeAutospacing="0" w:after="0" w:afterAutospacing="0"/>
        <w:rPr>
          <w:rFonts w:ascii="Arial Narrow" w:hAnsi="Arial Narrow"/>
          <w:i/>
          <w:color w:val="000000" w:themeColor="text1"/>
          <w:sz w:val="14"/>
        </w:rPr>
      </w:pPr>
    </w:p>
    <w:p w14:paraId="16E2CDA3" w14:textId="77777777" w:rsidR="00837431" w:rsidRDefault="00837431" w:rsidP="001F636C">
      <w:pPr>
        <w:pStyle w:val="NormalWeb"/>
        <w:spacing w:before="0" w:beforeAutospacing="0" w:after="0" w:afterAutospacing="0"/>
        <w:rPr>
          <w:rFonts w:ascii="Arial Narrow" w:hAnsi="Arial Narrow"/>
          <w:i/>
          <w:color w:val="000000" w:themeColor="text1"/>
          <w:sz w:val="14"/>
        </w:rPr>
      </w:pPr>
    </w:p>
    <w:p w14:paraId="7BC79471" w14:textId="77777777" w:rsidR="005454D2" w:rsidRDefault="005454D2" w:rsidP="001F636C">
      <w:pPr>
        <w:pStyle w:val="NormalWeb"/>
        <w:spacing w:before="0" w:beforeAutospacing="0" w:after="0" w:afterAutospacing="0"/>
        <w:rPr>
          <w:rFonts w:ascii="Arial Narrow" w:hAnsi="Arial Narrow"/>
          <w:i/>
          <w:color w:val="000000" w:themeColor="text1"/>
          <w:sz w:val="14"/>
        </w:rPr>
      </w:pPr>
    </w:p>
    <w:p w14:paraId="35EEA256" w14:textId="203BE69F" w:rsidR="001F636C" w:rsidRDefault="001F636C" w:rsidP="001F636C">
      <w:pPr>
        <w:pStyle w:val="NormalWeb"/>
        <w:spacing w:before="0" w:beforeAutospacing="0" w:after="0" w:afterAutospacing="0"/>
        <w:rPr>
          <w:rFonts w:ascii="Arial Narrow" w:hAnsi="Arial Narrow"/>
          <w:i/>
          <w:color w:val="000000" w:themeColor="text1"/>
          <w:sz w:val="14"/>
        </w:rPr>
      </w:pPr>
      <w:r w:rsidRPr="00830014">
        <w:rPr>
          <w:rFonts w:ascii="Arial Narrow" w:hAnsi="Arial Narrow"/>
          <w:i/>
          <w:color w:val="000000" w:themeColor="text1"/>
          <w:sz w:val="14"/>
        </w:rPr>
        <w:t>This tool is written</w:t>
      </w:r>
      <w:r w:rsidR="004E59E7">
        <w:rPr>
          <w:rFonts w:ascii="Arial Narrow" w:hAnsi="Arial Narrow"/>
          <w:i/>
          <w:color w:val="000000" w:themeColor="text1"/>
          <w:sz w:val="14"/>
        </w:rPr>
        <w:t xml:space="preserve"> </w:t>
      </w:r>
      <w:r w:rsidRPr="00830014">
        <w:rPr>
          <w:rFonts w:ascii="Arial Narrow" w:hAnsi="Arial Narrow"/>
          <w:i/>
          <w:color w:val="000000" w:themeColor="text1"/>
          <w:sz w:val="14"/>
        </w:rPr>
        <w:t xml:space="preserve">to align with Health Resources and Services Administration (HRSA) policy, and is provided only as an example for the purpose of encouraging 340B </w:t>
      </w:r>
      <w:r w:rsidR="00E96102">
        <w:rPr>
          <w:rFonts w:ascii="Arial Narrow" w:hAnsi="Arial Narrow"/>
          <w:i/>
          <w:color w:val="000000" w:themeColor="text1"/>
          <w:sz w:val="14"/>
        </w:rPr>
        <w:t>P</w:t>
      </w:r>
      <w:r w:rsidR="00E96102" w:rsidRPr="00830014">
        <w:rPr>
          <w:rFonts w:ascii="Arial Narrow" w:hAnsi="Arial Narrow"/>
          <w:i/>
          <w:color w:val="000000" w:themeColor="text1"/>
          <w:sz w:val="14"/>
        </w:rPr>
        <w:t xml:space="preserve">rogram </w:t>
      </w:r>
      <w:r w:rsidRPr="00830014">
        <w:rPr>
          <w:rFonts w:ascii="Arial Narrow" w:hAnsi="Arial Narrow"/>
          <w:i/>
          <w:color w:val="000000" w:themeColor="text1"/>
          <w:sz w:val="14"/>
        </w:rPr>
        <w:t xml:space="preserve">integrity. This information has not been endorsed by HRSA and is not dispositive in determining compliance with or participatory status in the 340B Drug Pricing Program. 340B stakeholders are ultimately responsible for 340B </w:t>
      </w:r>
      <w:r w:rsidR="00E96102">
        <w:rPr>
          <w:rFonts w:ascii="Arial Narrow" w:hAnsi="Arial Narrow"/>
          <w:i/>
          <w:color w:val="000000" w:themeColor="text1"/>
          <w:sz w:val="14"/>
        </w:rPr>
        <w:t>P</w:t>
      </w:r>
      <w:r w:rsidR="00E96102" w:rsidRPr="00830014">
        <w:rPr>
          <w:rFonts w:ascii="Arial Narrow" w:hAnsi="Arial Narrow"/>
          <w:i/>
          <w:color w:val="000000" w:themeColor="text1"/>
          <w:sz w:val="14"/>
        </w:rPr>
        <w:t xml:space="preserve">rogram </w:t>
      </w:r>
      <w:r w:rsidRPr="00830014">
        <w:rPr>
          <w:rFonts w:ascii="Arial Narrow" w:hAnsi="Arial Narrow"/>
          <w:i/>
          <w:color w:val="000000" w:themeColor="text1"/>
          <w:sz w:val="14"/>
        </w:rPr>
        <w:t>compliance and compliance with all other applicable laws and regulations. Apexus encourages all stakeholders to include legal counsel as part of their program integrity efforts.</w:t>
      </w:r>
    </w:p>
    <w:p w14:paraId="1ED68939" w14:textId="77777777" w:rsidR="001F636C" w:rsidRPr="00830014" w:rsidRDefault="001F636C" w:rsidP="001F636C">
      <w:pPr>
        <w:pStyle w:val="NormalWeb"/>
        <w:spacing w:before="0" w:beforeAutospacing="0" w:after="0" w:afterAutospacing="0"/>
        <w:rPr>
          <w:rFonts w:ascii="Arial Narrow" w:hAnsi="Arial Narrow"/>
          <w:i/>
          <w:color w:val="000000" w:themeColor="text1"/>
          <w:sz w:val="14"/>
        </w:rPr>
      </w:pPr>
      <w:r w:rsidRPr="00830014">
        <w:rPr>
          <w:rFonts w:ascii="Arial Narrow" w:hAnsi="Arial Narrow"/>
          <w:i/>
          <w:color w:val="000000" w:themeColor="text1"/>
          <w:sz w:val="14"/>
        </w:rPr>
        <w:t xml:space="preserve"> </w:t>
      </w:r>
    </w:p>
    <w:p w14:paraId="275B0A3A" w14:textId="34B7DEEA" w:rsidR="00857736" w:rsidRPr="001F636C" w:rsidRDefault="001F636C" w:rsidP="001F636C">
      <w:pPr>
        <w:rPr>
          <w:i/>
          <w:color w:val="000000" w:themeColor="text1"/>
          <w:sz w:val="14"/>
        </w:rPr>
      </w:pPr>
      <w:r w:rsidRPr="00830014">
        <w:rPr>
          <w:i/>
          <w:color w:val="000000" w:themeColor="text1"/>
          <w:sz w:val="14"/>
        </w:rPr>
        <w:t>© 20</w:t>
      </w:r>
      <w:r w:rsidR="000639EB">
        <w:rPr>
          <w:i/>
          <w:color w:val="000000" w:themeColor="text1"/>
          <w:sz w:val="14"/>
        </w:rPr>
        <w:t>22</w:t>
      </w:r>
      <w:r w:rsidRPr="00830014">
        <w:rPr>
          <w:i/>
          <w:color w:val="000000" w:themeColor="text1"/>
          <w:sz w:val="14"/>
        </w:rPr>
        <w:t xml:space="preserve"> Apexus</w:t>
      </w:r>
      <w:r w:rsidR="002D5BF0">
        <w:rPr>
          <w:i/>
          <w:color w:val="000000" w:themeColor="text1"/>
          <w:sz w:val="14"/>
        </w:rPr>
        <w:t xml:space="preserve">. </w:t>
      </w:r>
      <w:r w:rsidRPr="00830014">
        <w:rPr>
          <w:i/>
          <w:color w:val="000000" w:themeColor="text1"/>
          <w:sz w:val="14"/>
        </w:rPr>
        <w:t>Permission is granted to use, copy, and distribute this work solely for 340B covered entities and Medicaid agencies.</w:t>
      </w:r>
    </w:p>
    <w:sectPr w:rsidR="00857736" w:rsidRPr="001F636C" w:rsidSect="001F0DED">
      <w:headerReference w:type="default" r:id="rId8"/>
      <w:footerReference w:type="default" r:id="rId9"/>
      <w:headerReference w:type="first" r:id="rId10"/>
      <w:footerReference w:type="first" r:id="rId11"/>
      <w:pgSz w:w="12240" w:h="15840"/>
      <w:pgMar w:top="2430" w:right="720" w:bottom="1080" w:left="720" w:header="54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708C6" w14:textId="77777777" w:rsidR="001D51DA" w:rsidRDefault="001D51DA" w:rsidP="00B773C7">
      <w:r>
        <w:separator/>
      </w:r>
    </w:p>
  </w:endnote>
  <w:endnote w:type="continuationSeparator" w:id="0">
    <w:p w14:paraId="66B9041A" w14:textId="77777777" w:rsidR="001D51DA" w:rsidRDefault="001D51DA" w:rsidP="00B7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5A05" w14:textId="77777777" w:rsidR="00CF3D49" w:rsidRPr="001A2BB1" w:rsidRDefault="00CF3D49" w:rsidP="00CF3D49">
    <w:pPr>
      <w:pStyle w:val="Footer"/>
      <w:tabs>
        <w:tab w:val="clear" w:pos="4680"/>
        <w:tab w:val="clear" w:pos="9360"/>
      </w:tabs>
      <w:spacing w:before="60" w:after="60"/>
      <w:jc w:val="right"/>
      <w:rPr>
        <w:color w:val="1F497D" w:themeColor="text2"/>
        <w:sz w:val="22"/>
        <w:szCs w:val="20"/>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837431">
      <w:rPr>
        <w:noProof/>
        <w:color w:val="1F497D" w:themeColor="text2"/>
        <w:sz w:val="22"/>
        <w:szCs w:val="20"/>
      </w:rPr>
      <w:t>4</w:t>
    </w:r>
    <w:r w:rsidRPr="001A2BB1">
      <w:rPr>
        <w:noProof/>
        <w:color w:val="1F497D" w:themeColor="text2"/>
        <w:sz w:val="22"/>
        <w:szCs w:val="20"/>
      </w:rPr>
      <w:fldChar w:fldCharType="end"/>
    </w:r>
  </w:p>
  <w:p w14:paraId="3BB81B41" w14:textId="77777777" w:rsidR="00CF3D49" w:rsidRPr="001A2BB1" w:rsidRDefault="00CF3D49" w:rsidP="00CF3D49">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5B12E811" w14:textId="73E95DB4" w:rsidR="00B37BDE" w:rsidRPr="00CF3D49" w:rsidRDefault="00CF3D49" w:rsidP="00CF3D49">
    <w:pPr>
      <w:pStyle w:val="Footer"/>
      <w:tabs>
        <w:tab w:val="clear" w:pos="9360"/>
        <w:tab w:val="right" w:pos="10800"/>
      </w:tabs>
    </w:pPr>
    <w:r w:rsidRPr="00B773C7">
      <w:rPr>
        <w:color w:val="1F497D" w:themeColor="text2"/>
        <w:sz w:val="16"/>
      </w:rPr>
      <w:t xml:space="preserve">© </w:t>
    </w:r>
    <w:r w:rsidR="000639EB">
      <w:rPr>
        <w:color w:val="1F497D" w:themeColor="text2"/>
        <w:sz w:val="16"/>
      </w:rPr>
      <w:t>2022</w:t>
    </w:r>
    <w:r w:rsidR="000639EB" w:rsidRPr="00B773C7">
      <w:rPr>
        <w:color w:val="1F497D" w:themeColor="text2"/>
        <w:sz w:val="16"/>
      </w:rPr>
      <w:t xml:space="preserve"> </w:t>
    </w:r>
    <w:r w:rsidRPr="00B773C7">
      <w:rPr>
        <w:color w:val="1F497D" w:themeColor="text2"/>
        <w:sz w:val="16"/>
      </w:rPr>
      <w:t>Apexus LLC</w:t>
    </w:r>
    <w:r w:rsidR="002D5BF0">
      <w:rPr>
        <w:color w:val="1F497D" w:themeColor="text2"/>
        <w:sz w:val="16"/>
      </w:rPr>
      <w:t xml:space="preserve">. </w:t>
    </w:r>
    <w:r w:rsidRPr="00B773C7">
      <w:rPr>
        <w:color w:val="1F497D" w:themeColor="text2"/>
        <w:sz w:val="16"/>
      </w:rPr>
      <w:t>All rights reserved.</w:t>
    </w:r>
    <w:r w:rsidR="002C4576">
      <w:rPr>
        <w:color w:val="1F497D" w:themeColor="text2"/>
        <w:sz w:val="16"/>
      </w:rPr>
      <w:tab/>
    </w:r>
    <w:r w:rsidR="002C4576">
      <w:rPr>
        <w:color w:val="1F497D" w:themeColor="text2"/>
        <w:sz w:val="16"/>
      </w:rPr>
      <w:tab/>
    </w:r>
    <w:r w:rsidR="000639EB">
      <w:rPr>
        <w:color w:val="1F497D" w:themeColor="text2"/>
        <w:sz w:val="16"/>
      </w:rPr>
      <w:t>07202022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62FF" w14:textId="77777777" w:rsidR="00857736" w:rsidRPr="0078718F" w:rsidRDefault="00857736" w:rsidP="00857736">
    <w:pPr>
      <w:pStyle w:val="Footer"/>
      <w:tabs>
        <w:tab w:val="clear" w:pos="4680"/>
        <w:tab w:val="clear" w:pos="9360"/>
      </w:tabs>
      <w:spacing w:before="60" w:after="60"/>
      <w:jc w:val="center"/>
      <w:rPr>
        <w:color w:val="1F497D" w:themeColor="text2"/>
        <w:sz w:val="22"/>
      </w:rPr>
    </w:pPr>
    <w:r w:rsidRPr="0078718F">
      <w:rPr>
        <w:color w:val="1F497D" w:themeColor="text2"/>
        <w:sz w:val="22"/>
      </w:rPr>
      <w:t>Apexus</w:t>
    </w:r>
    <w:r>
      <w:rPr>
        <w:color w:val="1F497D" w:themeColor="text2"/>
        <w:sz w:val="22"/>
      </w:rPr>
      <w:t xml:space="preserve"> Answers Call Center</w:t>
    </w:r>
    <w:r w:rsidRPr="0078718F">
      <w:rPr>
        <w:color w:val="1F497D" w:themeColor="text2"/>
        <w:sz w:val="22"/>
      </w:rPr>
      <w:t xml:space="preserve"> | 340B Prime Vendor Program</w:t>
    </w:r>
    <w:r>
      <w:rPr>
        <w:color w:val="1F497D" w:themeColor="text2"/>
        <w:sz w:val="22"/>
      </w:rPr>
      <w:t xml:space="preserve"> | 340B University </w:t>
    </w:r>
    <w:r w:rsidRPr="0078718F">
      <w:rPr>
        <w:color w:val="1F497D" w:themeColor="text2"/>
        <w:sz w:val="22"/>
      </w:rPr>
      <w:t>| 888.340.2787 | www.</w:t>
    </w:r>
    <w:r w:rsidR="00DB7331">
      <w:rPr>
        <w:color w:val="1F497D" w:themeColor="text2"/>
        <w:sz w:val="22"/>
      </w:rPr>
      <w:t>340bpvp</w:t>
    </w:r>
    <w:r w:rsidRPr="0078718F">
      <w:rPr>
        <w:color w:val="1F497D" w:themeColor="text2"/>
        <w:sz w:val="22"/>
      </w:rPr>
      <w:t>.com</w:t>
    </w:r>
  </w:p>
  <w:p w14:paraId="7350A1A2" w14:textId="21630C1D" w:rsidR="00FC56F8" w:rsidRPr="00857736" w:rsidRDefault="00857736" w:rsidP="00857736">
    <w:pPr>
      <w:pStyle w:val="Footer"/>
      <w:tabs>
        <w:tab w:val="clear" w:pos="4680"/>
        <w:tab w:val="clear" w:pos="9360"/>
        <w:tab w:val="right" w:pos="10800"/>
      </w:tabs>
      <w:jc w:val="center"/>
      <w:rPr>
        <w:color w:val="1F497D" w:themeColor="text2"/>
        <w:sz w:val="16"/>
      </w:rPr>
    </w:pPr>
    <w:r w:rsidRPr="00B773C7">
      <w:rPr>
        <w:color w:val="1F497D" w:themeColor="text2"/>
        <w:sz w:val="16"/>
      </w:rPr>
      <w:t>© 201</w:t>
    </w:r>
    <w:r w:rsidR="00DB7331">
      <w:rPr>
        <w:color w:val="1F497D" w:themeColor="text2"/>
        <w:sz w:val="16"/>
      </w:rPr>
      <w:t>5</w:t>
    </w:r>
    <w:r w:rsidRPr="00B773C7">
      <w:rPr>
        <w:color w:val="1F497D" w:themeColor="text2"/>
        <w:sz w:val="16"/>
      </w:rPr>
      <w:t xml:space="preserve"> Apexus LLC</w:t>
    </w:r>
    <w:r w:rsidR="002D5BF0">
      <w:rPr>
        <w:color w:val="1F497D" w:themeColor="text2"/>
        <w:sz w:val="16"/>
      </w:rPr>
      <w:t xml:space="preserve">. </w:t>
    </w:r>
    <w:r w:rsidRPr="00B773C7">
      <w:rPr>
        <w:color w:val="1F497D" w:themeColor="text2"/>
        <w:sz w:val="16"/>
      </w:rPr>
      <w:t>All rights reserved.</w:t>
    </w:r>
    <w:r>
      <w:rPr>
        <w:color w:val="1F497D" w:themeColor="text2"/>
        <w:sz w:val="16"/>
      </w:rPr>
      <w:tab/>
      <w:t xml:space="preserve">Version </w:t>
    </w:r>
    <w:r w:rsidR="00DB7331">
      <w:rPr>
        <w:color w:val="1F497D" w:themeColor="text2"/>
        <w:sz w:val="16"/>
      </w:rPr>
      <w:t>02182015</w:t>
    </w:r>
    <w:r>
      <w:rPr>
        <w:color w:val="1F497D" w:themeColor="text2"/>
        <w:sz w:val="16"/>
      </w:rPr>
      <w:tab/>
    </w:r>
    <w:r>
      <w:rPr>
        <w:color w:val="1F497D" w:themeColor="text2"/>
        <w:sz w:val="16"/>
      </w:rPr>
      <w:tab/>
      <w:t>Version 09152014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E5027" w14:textId="77777777" w:rsidR="001D51DA" w:rsidRDefault="001D51DA" w:rsidP="00B773C7">
      <w:r>
        <w:separator/>
      </w:r>
    </w:p>
  </w:footnote>
  <w:footnote w:type="continuationSeparator" w:id="0">
    <w:p w14:paraId="715ECC3D" w14:textId="77777777" w:rsidR="001D51DA" w:rsidRDefault="001D51DA" w:rsidP="00B7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3EFE" w14:textId="7BCA6491" w:rsidR="005A092A" w:rsidRDefault="00807137" w:rsidP="00B37BDE">
    <w:pPr>
      <w:pStyle w:val="Header"/>
      <w:rPr>
        <w:noProof/>
        <w:color w:val="00B0F0"/>
        <w:sz w:val="40"/>
        <w:szCs w:val="40"/>
      </w:rPr>
    </w:pPr>
    <w:r>
      <w:rPr>
        <w:noProof/>
        <w:color w:val="00B0F0"/>
        <w:sz w:val="40"/>
        <w:szCs w:val="40"/>
      </w:rPr>
      <w:drawing>
        <wp:anchor distT="0" distB="0" distL="114300" distR="114300" simplePos="0" relativeHeight="251667456" behindDoc="1" locked="0" layoutInCell="1" allowOverlap="1" wp14:anchorId="65CC07F7" wp14:editId="190B418C">
          <wp:simplePos x="0" y="0"/>
          <wp:positionH relativeFrom="margin">
            <wp:align>right</wp:align>
          </wp:positionH>
          <wp:positionV relativeFrom="paragraph">
            <wp:posOffset>10160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0E73EC">
      <w:rPr>
        <w:noProof/>
        <w:color w:val="00B0F0"/>
        <w:sz w:val="40"/>
        <w:szCs w:val="40"/>
      </w:rPr>
      <w:t xml:space="preserve">Calculating 340B </w:t>
    </w:r>
    <w:r w:rsidR="00945CBD">
      <w:rPr>
        <w:noProof/>
        <w:color w:val="00B0F0"/>
        <w:sz w:val="40"/>
        <w:szCs w:val="40"/>
      </w:rPr>
      <w:t>Net Financial Impact</w:t>
    </w:r>
    <w:r w:rsidR="005A092A">
      <w:rPr>
        <w:noProof/>
        <w:color w:val="00B0F0"/>
        <w:sz w:val="40"/>
        <w:szCs w:val="40"/>
      </w:rPr>
      <w:t xml:space="preserve"> </w:t>
    </w:r>
    <w:r w:rsidR="00945CBD">
      <w:rPr>
        <w:noProof/>
        <w:color w:val="00B0F0"/>
        <w:sz w:val="40"/>
        <w:szCs w:val="40"/>
      </w:rPr>
      <w:br/>
    </w:r>
    <w:r w:rsidR="005A092A">
      <w:rPr>
        <w:noProof/>
        <w:color w:val="00B0F0"/>
        <w:sz w:val="40"/>
        <w:szCs w:val="40"/>
      </w:rPr>
      <w:t xml:space="preserve">and </w:t>
    </w:r>
    <w:r w:rsidR="007B2577">
      <w:rPr>
        <w:noProof/>
        <w:color w:val="00B0F0"/>
        <w:sz w:val="40"/>
        <w:szCs w:val="40"/>
      </w:rPr>
      <w:t>Use of Savings</w:t>
    </w:r>
  </w:p>
  <w:p w14:paraId="6425FCFE" w14:textId="133C9BD4" w:rsidR="00B37BDE" w:rsidRPr="005A092A" w:rsidRDefault="00807137" w:rsidP="00B37BDE">
    <w:pPr>
      <w:pStyle w:val="Header"/>
      <w:rPr>
        <w:noProof/>
        <w:color w:val="00B0F0"/>
        <w:sz w:val="40"/>
        <w:szCs w:val="40"/>
      </w:rPr>
    </w:pPr>
    <w:r>
      <w:rPr>
        <w:noProof/>
        <w:sz w:val="12"/>
      </w:rPr>
      <w:drawing>
        <wp:anchor distT="0" distB="0" distL="114300" distR="114300" simplePos="0" relativeHeight="251666432" behindDoc="0" locked="0" layoutInCell="1" allowOverlap="1" wp14:anchorId="2F7520A5" wp14:editId="09BBF1F3">
          <wp:simplePos x="0" y="0"/>
          <wp:positionH relativeFrom="margin">
            <wp:align>right</wp:align>
          </wp:positionH>
          <wp:positionV relativeFrom="paragraph">
            <wp:posOffset>249555</wp:posOffset>
          </wp:positionV>
          <wp:extent cx="6858000" cy="131445"/>
          <wp:effectExtent l="0" t="0" r="0" b="190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CA91" w14:textId="77777777" w:rsidR="00FC56F8" w:rsidRPr="00B773C7" w:rsidRDefault="00FC56F8" w:rsidP="00637836">
    <w:pPr>
      <w:pStyle w:val="Header"/>
      <w:ind w:left="2520"/>
      <w:rPr>
        <w:rFonts w:ascii="Arial" w:hAnsi="Arial" w:cs="Arial"/>
        <w:noProof/>
        <w:sz w:val="36"/>
      </w:rPr>
    </w:pPr>
    <w:r w:rsidRPr="00B773C7">
      <w:rPr>
        <w:noProof/>
        <w:color w:val="1F497D" w:themeColor="text2"/>
        <w:sz w:val="36"/>
      </w:rPr>
      <w:drawing>
        <wp:anchor distT="0" distB="0" distL="114300" distR="114300" simplePos="0" relativeHeight="251664384" behindDoc="1" locked="0" layoutInCell="1" allowOverlap="1" wp14:anchorId="0A548C24" wp14:editId="6890F1DB">
          <wp:simplePos x="0" y="0"/>
          <wp:positionH relativeFrom="column">
            <wp:posOffset>152400</wp:posOffset>
          </wp:positionH>
          <wp:positionV relativeFrom="paragraph">
            <wp:posOffset>-287655</wp:posOffset>
          </wp:positionV>
          <wp:extent cx="1054100" cy="1060450"/>
          <wp:effectExtent l="0" t="0" r="0" b="6350"/>
          <wp:wrapThrough wrapText="bothSides">
            <wp:wrapPolygon edited="0">
              <wp:start x="7027" y="0"/>
              <wp:lineTo x="4294" y="1164"/>
              <wp:lineTo x="0" y="5044"/>
              <wp:lineTo x="0" y="14745"/>
              <wp:lineTo x="2342" y="18625"/>
              <wp:lineTo x="2342" y="19013"/>
              <wp:lineTo x="6636" y="21341"/>
              <wp:lineTo x="7027" y="21341"/>
              <wp:lineTo x="14053" y="21341"/>
              <wp:lineTo x="14834" y="21341"/>
              <wp:lineTo x="18737" y="18625"/>
              <wp:lineTo x="21080" y="14745"/>
              <wp:lineTo x="21080" y="5044"/>
              <wp:lineTo x="16786" y="1164"/>
              <wp:lineTo x="14053" y="0"/>
              <wp:lineTo x="7027"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Apexus Logo_Full Color.png"/>
                  <pic:cNvPicPr/>
                </pic:nvPicPr>
                <pic:blipFill>
                  <a:blip r:embed="rId1">
                    <a:extLst>
                      <a:ext uri="{28A0092B-C50C-407E-A947-70E740481C1C}">
                        <a14:useLocalDpi xmlns:a14="http://schemas.microsoft.com/office/drawing/2010/main" val="0"/>
                      </a:ext>
                    </a:extLst>
                  </a:blip>
                  <a:stretch>
                    <a:fillRect/>
                  </a:stretch>
                </pic:blipFill>
                <pic:spPr>
                  <a:xfrm>
                    <a:off x="0" y="0"/>
                    <a:ext cx="1054100" cy="1060450"/>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36"/>
      </w:rPr>
      <w:t xml:space="preserve">340B </w:t>
    </w:r>
    <w:r w:rsidR="00857736">
      <w:rPr>
        <w:noProof/>
        <w:color w:val="1F497D" w:themeColor="text2"/>
        <w:sz w:val="36"/>
      </w:rPr>
      <w:t xml:space="preserve">University </w:t>
    </w:r>
    <w:r w:rsidR="00DB7331">
      <w:rPr>
        <w:noProof/>
        <w:color w:val="1F497D" w:themeColor="text2"/>
        <w:sz w:val="36"/>
      </w:rPr>
      <w:t xml:space="preserve"> </w:t>
    </w:r>
    <w:r>
      <w:rPr>
        <w:noProof/>
        <w:sz w:val="36"/>
      </w:rPr>
      <w:tab/>
    </w:r>
    <w:r>
      <w:rPr>
        <w:noProof/>
        <w:sz w:val="36"/>
      </w:rPr>
      <w:tab/>
    </w:r>
    <w:r w:rsidRPr="00B773C7">
      <w:rPr>
        <w:rFonts w:ascii="Arial" w:hAnsi="Arial" w:cs="Arial"/>
        <w:noProof/>
        <w:sz w:val="20"/>
      </w:rPr>
      <w:t xml:space="preserve">Page </w:t>
    </w:r>
    <w:r w:rsidRPr="00B773C7">
      <w:rPr>
        <w:rFonts w:ascii="Arial" w:hAnsi="Arial" w:cs="Arial"/>
        <w:noProof/>
        <w:sz w:val="20"/>
      </w:rPr>
      <w:fldChar w:fldCharType="begin"/>
    </w:r>
    <w:r w:rsidRPr="00B773C7">
      <w:rPr>
        <w:rFonts w:ascii="Arial" w:hAnsi="Arial" w:cs="Arial"/>
        <w:noProof/>
        <w:sz w:val="20"/>
      </w:rPr>
      <w:instrText xml:space="preserve"> PAGE   \* MERGEFORMAT </w:instrText>
    </w:r>
    <w:r w:rsidRPr="00B773C7">
      <w:rPr>
        <w:rFonts w:ascii="Arial" w:hAnsi="Arial" w:cs="Arial"/>
        <w:noProof/>
        <w:sz w:val="20"/>
      </w:rPr>
      <w:fldChar w:fldCharType="separate"/>
    </w:r>
    <w:r w:rsidR="00B37BDE">
      <w:rPr>
        <w:rFonts w:ascii="Arial" w:hAnsi="Arial" w:cs="Arial"/>
        <w:noProof/>
        <w:sz w:val="20"/>
      </w:rPr>
      <w:t>1</w:t>
    </w:r>
    <w:r w:rsidRPr="00B773C7">
      <w:rPr>
        <w:rFonts w:ascii="Arial" w:hAnsi="Arial" w:cs="Arial"/>
        <w:noProof/>
        <w:sz w:val="20"/>
      </w:rPr>
      <w:fldChar w:fldCharType="end"/>
    </w:r>
  </w:p>
  <w:p w14:paraId="76C2F011" w14:textId="77777777" w:rsidR="00FC56F8" w:rsidRDefault="00DB7331" w:rsidP="00637836">
    <w:pPr>
      <w:pStyle w:val="Header"/>
      <w:ind w:left="2520"/>
      <w:rPr>
        <w:noProof/>
        <w:sz w:val="32"/>
      </w:rPr>
    </w:pPr>
    <w:r>
      <w:rPr>
        <w:noProof/>
        <w:sz w:val="32"/>
      </w:rPr>
      <w:t>Defining Material Breach Documentation Tool</w:t>
    </w:r>
  </w:p>
  <w:p w14:paraId="2F80C2C0" w14:textId="77777777" w:rsidR="00FC56F8" w:rsidRDefault="00C01E61" w:rsidP="00637836">
    <w:pPr>
      <w:pStyle w:val="Header"/>
    </w:pPr>
    <w:r>
      <w:pict w14:anchorId="1B9B41EB">
        <v:rect id="_x0000_i1025" style="width:422.3pt;height:5pt" o:hrpct="782" o:hralign="right" o:hrstd="t" o:hrnoshade="t" o:hr="t" fillcolor="#1f497d [3215]" stroked="f"/>
      </w:pict>
    </w:r>
  </w:p>
  <w:p w14:paraId="79BBFBEA" w14:textId="77777777" w:rsidR="00FC56F8" w:rsidRDefault="00FC56F8">
    <w:pPr>
      <w:pStyle w:val="Header"/>
    </w:pPr>
  </w:p>
  <w:p w14:paraId="3BBC3ABE" w14:textId="77777777" w:rsidR="00FC56F8" w:rsidRPr="00857736" w:rsidRDefault="00FC56F8">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C94"/>
    <w:multiLevelType w:val="hybridMultilevel"/>
    <w:tmpl w:val="C51C56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12FCD"/>
    <w:multiLevelType w:val="hybridMultilevel"/>
    <w:tmpl w:val="6A269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75BA3"/>
    <w:multiLevelType w:val="hybridMultilevel"/>
    <w:tmpl w:val="D59EA622"/>
    <w:lvl w:ilvl="0" w:tplc="D55E0600">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03601"/>
    <w:multiLevelType w:val="hybridMultilevel"/>
    <w:tmpl w:val="1FDA60AC"/>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2725B"/>
    <w:multiLevelType w:val="hybridMultilevel"/>
    <w:tmpl w:val="9C2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0A2"/>
    <w:multiLevelType w:val="hybridMultilevel"/>
    <w:tmpl w:val="F6DCF2A6"/>
    <w:lvl w:ilvl="0" w:tplc="04090005">
      <w:start w:val="1"/>
      <w:numFmt w:val="bullet"/>
      <w:lvlText w:val=""/>
      <w:lvlJc w:val="left"/>
      <w:pPr>
        <w:ind w:left="720" w:hanging="360"/>
      </w:pPr>
      <w:rPr>
        <w:rFonts w:ascii="Wingdings" w:hAnsi="Wingdings" w:hint="default"/>
      </w:rPr>
    </w:lvl>
    <w:lvl w:ilvl="1" w:tplc="447A4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003C6"/>
    <w:multiLevelType w:val="hybridMultilevel"/>
    <w:tmpl w:val="D84EA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44988"/>
    <w:multiLevelType w:val="hybridMultilevel"/>
    <w:tmpl w:val="2E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53AA6"/>
    <w:multiLevelType w:val="hybridMultilevel"/>
    <w:tmpl w:val="5C0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80E9B"/>
    <w:multiLevelType w:val="hybridMultilevel"/>
    <w:tmpl w:val="E64C9EEA"/>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9269A"/>
    <w:multiLevelType w:val="hybridMultilevel"/>
    <w:tmpl w:val="2210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56482"/>
    <w:multiLevelType w:val="hybridMultilevel"/>
    <w:tmpl w:val="10CCD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03DDB"/>
    <w:multiLevelType w:val="hybridMultilevel"/>
    <w:tmpl w:val="5B84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47711"/>
    <w:multiLevelType w:val="hybridMultilevel"/>
    <w:tmpl w:val="50F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25F69"/>
    <w:multiLevelType w:val="hybridMultilevel"/>
    <w:tmpl w:val="F37E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F24A0"/>
    <w:multiLevelType w:val="hybridMultilevel"/>
    <w:tmpl w:val="6B86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758AA"/>
    <w:multiLevelType w:val="hybridMultilevel"/>
    <w:tmpl w:val="777EA3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345331"/>
    <w:multiLevelType w:val="hybridMultilevel"/>
    <w:tmpl w:val="6778C570"/>
    <w:lvl w:ilvl="0" w:tplc="447A47D0">
      <w:start w:val="1"/>
      <w:numFmt w:val="bullet"/>
      <w:lvlText w:val=""/>
      <w:lvlJc w:val="left"/>
      <w:pPr>
        <w:ind w:left="720" w:hanging="360"/>
      </w:pPr>
      <w:rPr>
        <w:rFonts w:ascii="Symbol" w:hAnsi="Symbol" w:hint="default"/>
      </w:rPr>
    </w:lvl>
    <w:lvl w:ilvl="1" w:tplc="447A4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217A8"/>
    <w:multiLevelType w:val="hybridMultilevel"/>
    <w:tmpl w:val="61D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A725C"/>
    <w:multiLevelType w:val="hybridMultilevel"/>
    <w:tmpl w:val="F2BCA13C"/>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A3EEE"/>
    <w:multiLevelType w:val="hybridMultilevel"/>
    <w:tmpl w:val="C3367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06D42"/>
    <w:multiLevelType w:val="hybridMultilevel"/>
    <w:tmpl w:val="61960D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2B141F"/>
    <w:multiLevelType w:val="hybridMultilevel"/>
    <w:tmpl w:val="4F92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62689"/>
    <w:multiLevelType w:val="hybridMultilevel"/>
    <w:tmpl w:val="3F32C1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DC5243"/>
    <w:multiLevelType w:val="hybridMultilevel"/>
    <w:tmpl w:val="F7062F94"/>
    <w:lvl w:ilvl="0" w:tplc="04A815A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D2BCC"/>
    <w:multiLevelType w:val="hybridMultilevel"/>
    <w:tmpl w:val="C3D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00B36"/>
    <w:multiLevelType w:val="hybridMultilevel"/>
    <w:tmpl w:val="9230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897060">
    <w:abstractNumId w:val="12"/>
  </w:num>
  <w:num w:numId="2" w16cid:durableId="414132855">
    <w:abstractNumId w:val="24"/>
  </w:num>
  <w:num w:numId="3" w16cid:durableId="824593034">
    <w:abstractNumId w:val="17"/>
  </w:num>
  <w:num w:numId="4" w16cid:durableId="956369031">
    <w:abstractNumId w:val="0"/>
  </w:num>
  <w:num w:numId="5" w16cid:durableId="130682106">
    <w:abstractNumId w:val="15"/>
  </w:num>
  <w:num w:numId="6" w16cid:durableId="1017119619">
    <w:abstractNumId w:val="14"/>
  </w:num>
  <w:num w:numId="7" w16cid:durableId="487019980">
    <w:abstractNumId w:val="6"/>
  </w:num>
  <w:num w:numId="8" w16cid:durableId="765032933">
    <w:abstractNumId w:val="18"/>
  </w:num>
  <w:num w:numId="9" w16cid:durableId="1245722939">
    <w:abstractNumId w:val="21"/>
  </w:num>
  <w:num w:numId="10" w16cid:durableId="1682312068">
    <w:abstractNumId w:val="8"/>
  </w:num>
  <w:num w:numId="11" w16cid:durableId="1082147163">
    <w:abstractNumId w:val="23"/>
  </w:num>
  <w:num w:numId="12" w16cid:durableId="1805347864">
    <w:abstractNumId w:val="2"/>
  </w:num>
  <w:num w:numId="13" w16cid:durableId="553854905">
    <w:abstractNumId w:val="20"/>
  </w:num>
  <w:num w:numId="14" w16cid:durableId="2122607855">
    <w:abstractNumId w:val="10"/>
  </w:num>
  <w:num w:numId="15" w16cid:durableId="87888390">
    <w:abstractNumId w:val="4"/>
  </w:num>
  <w:num w:numId="16" w16cid:durableId="1276253450">
    <w:abstractNumId w:val="16"/>
  </w:num>
  <w:num w:numId="17" w16cid:durableId="178589391">
    <w:abstractNumId w:val="11"/>
  </w:num>
  <w:num w:numId="18" w16cid:durableId="967392042">
    <w:abstractNumId w:val="3"/>
  </w:num>
  <w:num w:numId="19" w16cid:durableId="2083529385">
    <w:abstractNumId w:val="7"/>
  </w:num>
  <w:num w:numId="20" w16cid:durableId="1715690556">
    <w:abstractNumId w:val="1"/>
  </w:num>
  <w:num w:numId="21" w16cid:durableId="571699169">
    <w:abstractNumId w:val="5"/>
  </w:num>
  <w:num w:numId="22" w16cid:durableId="1437553884">
    <w:abstractNumId w:val="26"/>
  </w:num>
  <w:num w:numId="23" w16cid:durableId="1236016744">
    <w:abstractNumId w:val="25"/>
  </w:num>
  <w:num w:numId="24" w16cid:durableId="1785689183">
    <w:abstractNumId w:val="9"/>
  </w:num>
  <w:num w:numId="25" w16cid:durableId="1078794775">
    <w:abstractNumId w:val="13"/>
  </w:num>
  <w:num w:numId="26" w16cid:durableId="1129085761">
    <w:abstractNumId w:val="27"/>
  </w:num>
  <w:num w:numId="27" w16cid:durableId="1368801368">
    <w:abstractNumId w:val="22"/>
  </w:num>
  <w:num w:numId="28" w16cid:durableId="8742673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MjQyMDM0NzQwMzFV0lEKTi0uzszPAykwrAUAsaC+JywAAAA="/>
  </w:docVars>
  <w:rsids>
    <w:rsidRoot w:val="00B773C7"/>
    <w:rsid w:val="00012476"/>
    <w:rsid w:val="00012990"/>
    <w:rsid w:val="00030051"/>
    <w:rsid w:val="0003382B"/>
    <w:rsid w:val="000639EB"/>
    <w:rsid w:val="00066DD3"/>
    <w:rsid w:val="00090E53"/>
    <w:rsid w:val="000D3173"/>
    <w:rsid w:val="000E73EC"/>
    <w:rsid w:val="000F3FC7"/>
    <w:rsid w:val="00146D20"/>
    <w:rsid w:val="00175265"/>
    <w:rsid w:val="00191ED1"/>
    <w:rsid w:val="00197682"/>
    <w:rsid w:val="001A4053"/>
    <w:rsid w:val="001D51DA"/>
    <w:rsid w:val="001E3B58"/>
    <w:rsid w:val="001F0DED"/>
    <w:rsid w:val="001F636C"/>
    <w:rsid w:val="00207503"/>
    <w:rsid w:val="00225EB4"/>
    <w:rsid w:val="00256292"/>
    <w:rsid w:val="00263827"/>
    <w:rsid w:val="00267731"/>
    <w:rsid w:val="00270242"/>
    <w:rsid w:val="00281F1C"/>
    <w:rsid w:val="00284A5F"/>
    <w:rsid w:val="0029104F"/>
    <w:rsid w:val="002A3982"/>
    <w:rsid w:val="002A5D7E"/>
    <w:rsid w:val="002A65C6"/>
    <w:rsid w:val="002B13DB"/>
    <w:rsid w:val="002B2034"/>
    <w:rsid w:val="002C3F01"/>
    <w:rsid w:val="002C4576"/>
    <w:rsid w:val="002D5BF0"/>
    <w:rsid w:val="00327CBE"/>
    <w:rsid w:val="003315BE"/>
    <w:rsid w:val="00333F9A"/>
    <w:rsid w:val="003354F5"/>
    <w:rsid w:val="0035576C"/>
    <w:rsid w:val="00385301"/>
    <w:rsid w:val="00390867"/>
    <w:rsid w:val="003A3D09"/>
    <w:rsid w:val="003B6072"/>
    <w:rsid w:val="003C468D"/>
    <w:rsid w:val="003F4D5A"/>
    <w:rsid w:val="003F7E74"/>
    <w:rsid w:val="00404C15"/>
    <w:rsid w:val="00407E6C"/>
    <w:rsid w:val="00422AE3"/>
    <w:rsid w:val="0044376B"/>
    <w:rsid w:val="00463FDC"/>
    <w:rsid w:val="00482A12"/>
    <w:rsid w:val="004A33A8"/>
    <w:rsid w:val="004E59E7"/>
    <w:rsid w:val="004F6B0A"/>
    <w:rsid w:val="0050040C"/>
    <w:rsid w:val="00503EC5"/>
    <w:rsid w:val="00505B26"/>
    <w:rsid w:val="0052079C"/>
    <w:rsid w:val="005454D2"/>
    <w:rsid w:val="00550491"/>
    <w:rsid w:val="00574C72"/>
    <w:rsid w:val="005A092A"/>
    <w:rsid w:val="005A3218"/>
    <w:rsid w:val="005C03A7"/>
    <w:rsid w:val="005C5D22"/>
    <w:rsid w:val="005D05FE"/>
    <w:rsid w:val="005D5F63"/>
    <w:rsid w:val="00612896"/>
    <w:rsid w:val="00616A88"/>
    <w:rsid w:val="006204DD"/>
    <w:rsid w:val="00637836"/>
    <w:rsid w:val="00652FD4"/>
    <w:rsid w:val="0066371F"/>
    <w:rsid w:val="0066389B"/>
    <w:rsid w:val="0067198C"/>
    <w:rsid w:val="0067792A"/>
    <w:rsid w:val="006A79F9"/>
    <w:rsid w:val="006F1356"/>
    <w:rsid w:val="00727955"/>
    <w:rsid w:val="00735C15"/>
    <w:rsid w:val="00742BF8"/>
    <w:rsid w:val="0074518A"/>
    <w:rsid w:val="00774E76"/>
    <w:rsid w:val="0078718F"/>
    <w:rsid w:val="007B2577"/>
    <w:rsid w:val="007C42E3"/>
    <w:rsid w:val="007E095E"/>
    <w:rsid w:val="007F0AA4"/>
    <w:rsid w:val="00807137"/>
    <w:rsid w:val="00825707"/>
    <w:rsid w:val="00837431"/>
    <w:rsid w:val="00837C94"/>
    <w:rsid w:val="0084103D"/>
    <w:rsid w:val="008452F2"/>
    <w:rsid w:val="00857736"/>
    <w:rsid w:val="00862D10"/>
    <w:rsid w:val="0086478C"/>
    <w:rsid w:val="0086506D"/>
    <w:rsid w:val="00865E7B"/>
    <w:rsid w:val="00872341"/>
    <w:rsid w:val="008A1731"/>
    <w:rsid w:val="008A253B"/>
    <w:rsid w:val="008B3DE9"/>
    <w:rsid w:val="008B678D"/>
    <w:rsid w:val="008C2D78"/>
    <w:rsid w:val="008C46EA"/>
    <w:rsid w:val="008D0AA6"/>
    <w:rsid w:val="008D0B99"/>
    <w:rsid w:val="008F2B0B"/>
    <w:rsid w:val="008F4496"/>
    <w:rsid w:val="00902B3C"/>
    <w:rsid w:val="00945CBD"/>
    <w:rsid w:val="009734DA"/>
    <w:rsid w:val="009872DE"/>
    <w:rsid w:val="009B1063"/>
    <w:rsid w:val="009E0343"/>
    <w:rsid w:val="009E396E"/>
    <w:rsid w:val="009E4145"/>
    <w:rsid w:val="00A06DAC"/>
    <w:rsid w:val="00A1425B"/>
    <w:rsid w:val="00A441A3"/>
    <w:rsid w:val="00A47320"/>
    <w:rsid w:val="00A6722A"/>
    <w:rsid w:val="00A842ED"/>
    <w:rsid w:val="00A86F5F"/>
    <w:rsid w:val="00AA530A"/>
    <w:rsid w:val="00AB5154"/>
    <w:rsid w:val="00AC1304"/>
    <w:rsid w:val="00AC5317"/>
    <w:rsid w:val="00AE5C4F"/>
    <w:rsid w:val="00AF0B1F"/>
    <w:rsid w:val="00B01EE4"/>
    <w:rsid w:val="00B02A24"/>
    <w:rsid w:val="00B14371"/>
    <w:rsid w:val="00B239EB"/>
    <w:rsid w:val="00B24144"/>
    <w:rsid w:val="00B34557"/>
    <w:rsid w:val="00B37BDE"/>
    <w:rsid w:val="00B44FD2"/>
    <w:rsid w:val="00B509FF"/>
    <w:rsid w:val="00B62419"/>
    <w:rsid w:val="00B66645"/>
    <w:rsid w:val="00B773C7"/>
    <w:rsid w:val="00B93054"/>
    <w:rsid w:val="00BA05F2"/>
    <w:rsid w:val="00BA521E"/>
    <w:rsid w:val="00BD00D8"/>
    <w:rsid w:val="00BF0605"/>
    <w:rsid w:val="00BF3A54"/>
    <w:rsid w:val="00BF3EF5"/>
    <w:rsid w:val="00C06B72"/>
    <w:rsid w:val="00C07CB2"/>
    <w:rsid w:val="00C24D07"/>
    <w:rsid w:val="00C36508"/>
    <w:rsid w:val="00C52905"/>
    <w:rsid w:val="00C66B59"/>
    <w:rsid w:val="00C9046A"/>
    <w:rsid w:val="00CC1900"/>
    <w:rsid w:val="00CC3545"/>
    <w:rsid w:val="00CD1E51"/>
    <w:rsid w:val="00CD3CF9"/>
    <w:rsid w:val="00CD3EA4"/>
    <w:rsid w:val="00CF3D49"/>
    <w:rsid w:val="00D166B4"/>
    <w:rsid w:val="00D453B4"/>
    <w:rsid w:val="00D61E90"/>
    <w:rsid w:val="00D96B6A"/>
    <w:rsid w:val="00DB7331"/>
    <w:rsid w:val="00DC2E86"/>
    <w:rsid w:val="00DF5B07"/>
    <w:rsid w:val="00E407BE"/>
    <w:rsid w:val="00E96102"/>
    <w:rsid w:val="00EA6813"/>
    <w:rsid w:val="00EA7080"/>
    <w:rsid w:val="00EE7BA9"/>
    <w:rsid w:val="00F306B7"/>
    <w:rsid w:val="00F33658"/>
    <w:rsid w:val="00F450B1"/>
    <w:rsid w:val="00F5781A"/>
    <w:rsid w:val="00F6152F"/>
    <w:rsid w:val="00FA5CB9"/>
    <w:rsid w:val="00FC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37493BD6"/>
  <w15:docId w15:val="{4AB39D75-BB75-4082-8F3D-C06611AF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paragraph" w:styleId="NormalWeb">
    <w:name w:val="Normal (Web)"/>
    <w:basedOn w:val="Normal"/>
    <w:uiPriority w:val="99"/>
    <w:semiHidden/>
    <w:unhideWhenUsed/>
    <w:rsid w:val="001F636C"/>
    <w:pPr>
      <w:spacing w:before="100" w:beforeAutospacing="1" w:after="100" w:afterAutospacing="1"/>
    </w:pPr>
    <w:rPr>
      <w:rFonts w:ascii="Times New Roman" w:hAnsi="Times New Roman" w:cs="Times New Roman"/>
      <w:szCs w:val="24"/>
    </w:rPr>
  </w:style>
  <w:style w:type="character" w:styleId="CommentReference">
    <w:name w:val="annotation reference"/>
    <w:basedOn w:val="DefaultParagraphFont"/>
    <w:uiPriority w:val="99"/>
    <w:semiHidden/>
    <w:unhideWhenUsed/>
    <w:rsid w:val="004A33A8"/>
    <w:rPr>
      <w:sz w:val="16"/>
      <w:szCs w:val="16"/>
    </w:rPr>
  </w:style>
  <w:style w:type="paragraph" w:styleId="CommentText">
    <w:name w:val="annotation text"/>
    <w:basedOn w:val="Normal"/>
    <w:link w:val="CommentTextChar"/>
    <w:uiPriority w:val="99"/>
    <w:semiHidden/>
    <w:unhideWhenUsed/>
    <w:rsid w:val="004A33A8"/>
    <w:rPr>
      <w:sz w:val="20"/>
      <w:szCs w:val="20"/>
    </w:rPr>
  </w:style>
  <w:style w:type="character" w:customStyle="1" w:styleId="CommentTextChar">
    <w:name w:val="Comment Text Char"/>
    <w:basedOn w:val="DefaultParagraphFont"/>
    <w:link w:val="CommentText"/>
    <w:uiPriority w:val="99"/>
    <w:semiHidden/>
    <w:rsid w:val="004A33A8"/>
    <w:rPr>
      <w:sz w:val="20"/>
      <w:szCs w:val="20"/>
    </w:rPr>
  </w:style>
  <w:style w:type="paragraph" w:styleId="CommentSubject">
    <w:name w:val="annotation subject"/>
    <w:basedOn w:val="CommentText"/>
    <w:next w:val="CommentText"/>
    <w:link w:val="CommentSubjectChar"/>
    <w:uiPriority w:val="99"/>
    <w:semiHidden/>
    <w:unhideWhenUsed/>
    <w:rsid w:val="004A33A8"/>
    <w:rPr>
      <w:b/>
      <w:bCs/>
    </w:rPr>
  </w:style>
  <w:style w:type="character" w:customStyle="1" w:styleId="CommentSubjectChar">
    <w:name w:val="Comment Subject Char"/>
    <w:basedOn w:val="CommentTextChar"/>
    <w:link w:val="CommentSubject"/>
    <w:uiPriority w:val="99"/>
    <w:semiHidden/>
    <w:rsid w:val="004A33A8"/>
    <w:rPr>
      <w:b/>
      <w:bCs/>
      <w:sz w:val="20"/>
      <w:szCs w:val="20"/>
    </w:rPr>
  </w:style>
  <w:style w:type="paragraph" w:styleId="BalloonText">
    <w:name w:val="Balloon Text"/>
    <w:basedOn w:val="Normal"/>
    <w:link w:val="BalloonTextChar"/>
    <w:uiPriority w:val="99"/>
    <w:semiHidden/>
    <w:unhideWhenUsed/>
    <w:rsid w:val="004A3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3A8"/>
    <w:rPr>
      <w:rFonts w:ascii="Segoe UI" w:hAnsi="Segoe UI" w:cs="Segoe UI"/>
      <w:sz w:val="18"/>
      <w:szCs w:val="18"/>
    </w:rPr>
  </w:style>
  <w:style w:type="paragraph" w:styleId="Revision">
    <w:name w:val="Revision"/>
    <w:hidden/>
    <w:uiPriority w:val="99"/>
    <w:semiHidden/>
    <w:rsid w:val="00D61E90"/>
    <w:pPr>
      <w:spacing w:after="0" w:line="240" w:lineRule="auto"/>
    </w:pPr>
  </w:style>
  <w:style w:type="character" w:styleId="FollowedHyperlink">
    <w:name w:val="FollowedHyperlink"/>
    <w:basedOn w:val="DefaultParagraphFont"/>
    <w:uiPriority w:val="99"/>
    <w:semiHidden/>
    <w:unhideWhenUsed/>
    <w:rsid w:val="00CC35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40bhealth.org/files/340B_ImpactProfileGuidebook_.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Calculating 340B Net Financial Impact and Use of Savings</vt:lpstr>
    </vt:vector>
  </TitlesOfParts>
  <Company>VHA Inc.</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Calculating 340B Net Financial Impact and Use of Savings</dc:title>
  <dc:creator/>
  <cp:lastModifiedBy>Peters,Michael</cp:lastModifiedBy>
  <cp:revision>3</cp:revision>
  <dcterms:created xsi:type="dcterms:W3CDTF">2024-09-20T13:20:00Z</dcterms:created>
  <dcterms:modified xsi:type="dcterms:W3CDTF">2024-09-20T13:20:00Z</dcterms:modified>
</cp:coreProperties>
</file>